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color w:val="0F4F75"/>
          <w:sz w:val="36"/>
        </w:rPr>
      </w:pPr>
      <w:r>
        <w:rPr>
          <w:b/>
          <w:color w:val="0F4F75"/>
          <w:sz w:val="36"/>
        </w:rPr>
        <w:t>Pupil premium strategy / self- evaluation (secondary)</w:t>
      </w:r>
    </w:p>
    <w:tbl>
      <w:tblPr>
        <w:tblStyle w:val="TableGrid"/>
        <w:tblW w:w="14885" w:type="dxa"/>
        <w:tblInd w:w="-431" w:type="dxa"/>
        <w:tblLayout w:type="fixed"/>
        <w:tblLook w:val="04A0" w:firstRow="1" w:lastRow="0" w:firstColumn="1" w:lastColumn="0" w:noHBand="0" w:noVBand="1"/>
      </w:tblPr>
      <w:tblGrid>
        <w:gridCol w:w="566"/>
        <w:gridCol w:w="1420"/>
        <w:gridCol w:w="281"/>
        <w:gridCol w:w="423"/>
        <w:gridCol w:w="1369"/>
        <w:gridCol w:w="193"/>
        <w:gridCol w:w="565"/>
        <w:gridCol w:w="854"/>
        <w:gridCol w:w="1699"/>
        <w:gridCol w:w="565"/>
        <w:gridCol w:w="852"/>
        <w:gridCol w:w="424"/>
        <w:gridCol w:w="287"/>
        <w:gridCol w:w="2127"/>
        <w:gridCol w:w="211"/>
        <w:gridCol w:w="1488"/>
        <w:gridCol w:w="281"/>
        <w:gridCol w:w="1280"/>
      </w:tblGrid>
      <w:tr>
        <w:tc>
          <w:tcPr>
            <w:tcW w:w="14885" w:type="dxa"/>
            <w:gridSpan w:val="18"/>
            <w:shd w:val="clear" w:color="auto" w:fill="BDD6EE" w:themeFill="accent1" w:themeFillTint="66"/>
          </w:tcPr>
          <w:p>
            <w:pPr>
              <w:rPr>
                <w:rFonts w:ascii="Arial" w:hAnsi="Arial" w:cs="Arial"/>
                <w:b/>
                <w:color w:val="0D0D0D"/>
                <w:sz w:val="24"/>
                <w:szCs w:val="24"/>
              </w:rPr>
            </w:pPr>
            <w:r>
              <w:rPr>
                <w:rFonts w:ascii="Arial" w:hAnsi="Arial" w:cs="Arial"/>
                <w:b/>
                <w:color w:val="0D0D0D"/>
                <w:sz w:val="24"/>
                <w:szCs w:val="24"/>
              </w:rPr>
              <w:t>1.   Summary information</w:t>
            </w:r>
          </w:p>
        </w:tc>
      </w:tr>
      <w:tr>
        <w:tc>
          <w:tcPr>
            <w:tcW w:w="2690" w:type="dxa"/>
            <w:gridSpan w:val="4"/>
          </w:tcPr>
          <w:p>
            <w:pPr>
              <w:jc w:val="center"/>
              <w:rPr>
                <w:rFonts w:ascii="Arial" w:hAnsi="Arial" w:cs="Arial"/>
                <w:sz w:val="24"/>
                <w:szCs w:val="24"/>
              </w:rPr>
            </w:pPr>
            <w:r>
              <w:rPr>
                <w:rFonts w:ascii="Arial" w:hAnsi="Arial" w:cs="Arial"/>
                <w:b/>
                <w:color w:val="0D0D0D"/>
                <w:sz w:val="24"/>
                <w:szCs w:val="24"/>
              </w:rPr>
              <w:t>School</w:t>
            </w:r>
          </w:p>
        </w:tc>
        <w:tc>
          <w:tcPr>
            <w:tcW w:w="6097" w:type="dxa"/>
            <w:gridSpan w:val="7"/>
          </w:tcPr>
          <w:p>
            <w:pPr>
              <w:rPr>
                <w:rFonts w:ascii="Arial" w:hAnsi="Arial" w:cs="Arial"/>
                <w:sz w:val="24"/>
                <w:szCs w:val="24"/>
              </w:rPr>
            </w:pPr>
            <w:r>
              <w:rPr>
                <w:rFonts w:ascii="Arial" w:hAnsi="Arial" w:cs="Arial"/>
                <w:sz w:val="24"/>
                <w:szCs w:val="24"/>
              </w:rPr>
              <w:t xml:space="preserve">Kirkby High School </w:t>
            </w:r>
          </w:p>
        </w:tc>
        <w:tc>
          <w:tcPr>
            <w:tcW w:w="3049" w:type="dxa"/>
            <w:gridSpan w:val="4"/>
          </w:tcPr>
          <w:p>
            <w:pPr>
              <w:rPr>
                <w:rFonts w:ascii="Arial" w:hAnsi="Arial" w:cs="Arial"/>
                <w:sz w:val="24"/>
                <w:szCs w:val="24"/>
              </w:rPr>
            </w:pPr>
            <w:r>
              <w:rPr>
                <w:rFonts w:ascii="Arial" w:hAnsi="Arial" w:cs="Arial"/>
                <w:sz w:val="24"/>
                <w:szCs w:val="24"/>
              </w:rPr>
              <w:t>Last Financial Audit including catch up premium.</w:t>
            </w:r>
          </w:p>
        </w:tc>
        <w:tc>
          <w:tcPr>
            <w:tcW w:w="3049" w:type="dxa"/>
            <w:gridSpan w:val="3"/>
          </w:tcPr>
          <w:p>
            <w:pPr>
              <w:rPr>
                <w:rFonts w:ascii="Arial" w:hAnsi="Arial" w:cs="Arial"/>
                <w:sz w:val="24"/>
                <w:szCs w:val="24"/>
              </w:rPr>
            </w:pPr>
            <w:r>
              <w:rPr>
                <w:rFonts w:ascii="Arial" w:hAnsi="Arial" w:cs="Arial"/>
                <w:sz w:val="24"/>
                <w:szCs w:val="24"/>
              </w:rPr>
              <w:t>Oct 21</w:t>
            </w:r>
          </w:p>
        </w:tc>
      </w:tr>
      <w:tr>
        <w:tc>
          <w:tcPr>
            <w:tcW w:w="2690" w:type="dxa"/>
            <w:gridSpan w:val="4"/>
          </w:tcPr>
          <w:p>
            <w:pPr>
              <w:pStyle w:val="TableParagraph"/>
              <w:spacing w:before="55"/>
              <w:ind w:left="102"/>
              <w:rPr>
                <w:b/>
                <w:sz w:val="24"/>
                <w:szCs w:val="24"/>
              </w:rPr>
            </w:pPr>
            <w:r>
              <w:rPr>
                <w:b/>
                <w:color w:val="0D0D0D"/>
                <w:sz w:val="24"/>
                <w:szCs w:val="24"/>
              </w:rPr>
              <w:t>Academic Year</w:t>
            </w:r>
          </w:p>
        </w:tc>
        <w:tc>
          <w:tcPr>
            <w:tcW w:w="1369" w:type="dxa"/>
          </w:tcPr>
          <w:p>
            <w:pPr>
              <w:rPr>
                <w:rFonts w:ascii="Arial" w:hAnsi="Arial" w:cs="Arial"/>
                <w:sz w:val="24"/>
                <w:szCs w:val="24"/>
              </w:rPr>
            </w:pPr>
            <w:r>
              <w:rPr>
                <w:rFonts w:ascii="Arial" w:hAnsi="Arial" w:cs="Arial"/>
                <w:sz w:val="24"/>
                <w:szCs w:val="24"/>
              </w:rPr>
              <w:t>2021/2022</w:t>
            </w:r>
          </w:p>
        </w:tc>
        <w:tc>
          <w:tcPr>
            <w:tcW w:w="3876" w:type="dxa"/>
            <w:gridSpan w:val="5"/>
          </w:tcPr>
          <w:p>
            <w:pPr>
              <w:pStyle w:val="TableParagraph"/>
              <w:spacing w:before="55"/>
              <w:ind w:left="102"/>
              <w:rPr>
                <w:b/>
                <w:sz w:val="24"/>
                <w:szCs w:val="24"/>
              </w:rPr>
            </w:pPr>
            <w:r>
              <w:rPr>
                <w:b/>
                <w:color w:val="0D0D0D"/>
                <w:sz w:val="24"/>
                <w:szCs w:val="24"/>
              </w:rPr>
              <w:t>Total PP budget</w:t>
            </w:r>
          </w:p>
        </w:tc>
        <w:tc>
          <w:tcPr>
            <w:tcW w:w="1276" w:type="dxa"/>
            <w:gridSpan w:val="2"/>
          </w:tcPr>
          <w:p>
            <w:pPr>
              <w:rPr>
                <w:rFonts w:ascii="Arial" w:hAnsi="Arial" w:cs="Arial"/>
                <w:sz w:val="24"/>
                <w:szCs w:val="24"/>
              </w:rPr>
            </w:pPr>
            <w:r>
              <w:rPr>
                <w:rFonts w:ascii="Arial" w:hAnsi="Arial" w:cs="Arial"/>
                <w:sz w:val="24"/>
                <w:szCs w:val="24"/>
              </w:rPr>
              <w:t>£535 575</w:t>
            </w:r>
          </w:p>
        </w:tc>
        <w:tc>
          <w:tcPr>
            <w:tcW w:w="4394" w:type="dxa"/>
            <w:gridSpan w:val="5"/>
          </w:tcPr>
          <w:p>
            <w:pPr>
              <w:pStyle w:val="TableParagraph"/>
              <w:spacing w:before="55"/>
              <w:ind w:left="102"/>
              <w:rPr>
                <w:b/>
                <w:sz w:val="24"/>
                <w:szCs w:val="24"/>
              </w:rPr>
            </w:pPr>
            <w:r>
              <w:rPr>
                <w:b/>
                <w:color w:val="0D0D0D"/>
                <w:sz w:val="24"/>
                <w:szCs w:val="24"/>
              </w:rPr>
              <w:t>Date of most recent external PP Review</w:t>
            </w:r>
          </w:p>
        </w:tc>
        <w:tc>
          <w:tcPr>
            <w:tcW w:w="1280" w:type="dxa"/>
          </w:tcPr>
          <w:p>
            <w:pPr>
              <w:rPr>
                <w:rFonts w:ascii="Arial" w:hAnsi="Arial" w:cs="Arial"/>
                <w:sz w:val="24"/>
                <w:szCs w:val="24"/>
              </w:rPr>
            </w:pPr>
            <w:r>
              <w:rPr>
                <w:rFonts w:ascii="Arial" w:hAnsi="Arial" w:cs="Arial"/>
                <w:sz w:val="24"/>
                <w:szCs w:val="24"/>
              </w:rPr>
              <w:t>June 17</w:t>
            </w:r>
          </w:p>
        </w:tc>
      </w:tr>
      <w:tr>
        <w:trPr>
          <w:trHeight w:val="58"/>
        </w:trPr>
        <w:tc>
          <w:tcPr>
            <w:tcW w:w="2690" w:type="dxa"/>
            <w:gridSpan w:val="4"/>
          </w:tcPr>
          <w:p>
            <w:pPr>
              <w:pStyle w:val="TableParagraph"/>
              <w:spacing w:before="55"/>
              <w:ind w:left="102"/>
              <w:rPr>
                <w:b/>
                <w:sz w:val="24"/>
                <w:szCs w:val="24"/>
              </w:rPr>
            </w:pPr>
            <w:r>
              <w:rPr>
                <w:b/>
                <w:color w:val="0D0D0D"/>
                <w:sz w:val="24"/>
                <w:szCs w:val="24"/>
              </w:rPr>
              <w:t>Total number of pupils</w:t>
            </w:r>
          </w:p>
        </w:tc>
        <w:tc>
          <w:tcPr>
            <w:tcW w:w="1369" w:type="dxa"/>
          </w:tcPr>
          <w:p>
            <w:pPr>
              <w:rPr>
                <w:rFonts w:ascii="Arial" w:hAnsi="Arial" w:cs="Arial"/>
                <w:sz w:val="24"/>
                <w:szCs w:val="24"/>
              </w:rPr>
            </w:pPr>
            <w:r>
              <w:rPr>
                <w:rFonts w:ascii="Arial" w:hAnsi="Arial" w:cs="Arial"/>
                <w:sz w:val="24"/>
                <w:szCs w:val="24"/>
              </w:rPr>
              <w:t>962</w:t>
            </w:r>
          </w:p>
        </w:tc>
        <w:tc>
          <w:tcPr>
            <w:tcW w:w="3876" w:type="dxa"/>
            <w:gridSpan w:val="5"/>
          </w:tcPr>
          <w:p>
            <w:pPr>
              <w:pStyle w:val="TableParagraph"/>
              <w:spacing w:before="55"/>
              <w:ind w:left="102"/>
              <w:rPr>
                <w:b/>
                <w:sz w:val="24"/>
                <w:szCs w:val="24"/>
              </w:rPr>
            </w:pPr>
            <w:r>
              <w:rPr>
                <w:b/>
                <w:color w:val="0D0D0D"/>
                <w:sz w:val="24"/>
                <w:szCs w:val="24"/>
              </w:rPr>
              <w:t>Number of pupils eligible for PP</w:t>
            </w:r>
          </w:p>
        </w:tc>
        <w:tc>
          <w:tcPr>
            <w:tcW w:w="1276" w:type="dxa"/>
            <w:gridSpan w:val="2"/>
          </w:tcPr>
          <w:p>
            <w:pPr>
              <w:rPr>
                <w:rFonts w:ascii="Arial" w:hAnsi="Arial" w:cs="Arial"/>
                <w:sz w:val="24"/>
                <w:szCs w:val="24"/>
              </w:rPr>
            </w:pPr>
            <w:r>
              <w:rPr>
                <w:rFonts w:ascii="Arial" w:hAnsi="Arial" w:cs="Arial"/>
                <w:sz w:val="24"/>
                <w:szCs w:val="24"/>
              </w:rPr>
              <w:t>581</w:t>
            </w:r>
          </w:p>
        </w:tc>
        <w:tc>
          <w:tcPr>
            <w:tcW w:w="4394" w:type="dxa"/>
            <w:gridSpan w:val="5"/>
          </w:tcPr>
          <w:p>
            <w:pPr>
              <w:pStyle w:val="TableParagraph"/>
              <w:spacing w:before="55"/>
              <w:ind w:left="102"/>
              <w:rPr>
                <w:b/>
                <w:sz w:val="24"/>
                <w:szCs w:val="24"/>
              </w:rPr>
            </w:pPr>
            <w:r>
              <w:rPr>
                <w:b/>
                <w:color w:val="0D0D0D"/>
                <w:sz w:val="24"/>
                <w:szCs w:val="24"/>
              </w:rPr>
              <w:t>Date(s) for next internal review of this strategy</w:t>
            </w:r>
          </w:p>
        </w:tc>
        <w:tc>
          <w:tcPr>
            <w:tcW w:w="1280" w:type="dxa"/>
          </w:tcPr>
          <w:p>
            <w:pPr>
              <w:rPr>
                <w:rFonts w:ascii="Arial" w:hAnsi="Arial" w:cs="Arial"/>
                <w:sz w:val="24"/>
                <w:szCs w:val="24"/>
              </w:rPr>
            </w:pPr>
            <w:r>
              <w:rPr>
                <w:rFonts w:ascii="Arial" w:hAnsi="Arial" w:cs="Arial"/>
                <w:sz w:val="24"/>
                <w:szCs w:val="24"/>
              </w:rPr>
              <w:t>Dec 21</w:t>
            </w:r>
          </w:p>
          <w:p>
            <w:pPr>
              <w:rPr>
                <w:rFonts w:ascii="Arial" w:hAnsi="Arial" w:cs="Arial"/>
                <w:sz w:val="24"/>
                <w:szCs w:val="24"/>
              </w:rPr>
            </w:pPr>
            <w:r>
              <w:rPr>
                <w:rFonts w:ascii="Arial" w:hAnsi="Arial" w:cs="Arial"/>
                <w:sz w:val="24"/>
                <w:szCs w:val="24"/>
              </w:rPr>
              <w:t>April 22</w:t>
            </w:r>
          </w:p>
          <w:p>
            <w:pPr>
              <w:rPr>
                <w:rFonts w:ascii="Arial" w:hAnsi="Arial" w:cs="Arial"/>
                <w:sz w:val="24"/>
                <w:szCs w:val="24"/>
              </w:rPr>
            </w:pPr>
            <w:r>
              <w:rPr>
                <w:rFonts w:ascii="Arial" w:hAnsi="Arial" w:cs="Arial"/>
                <w:sz w:val="24"/>
                <w:szCs w:val="24"/>
              </w:rPr>
              <w:t>July 22</w:t>
            </w:r>
          </w:p>
          <w:p>
            <w:pPr>
              <w:rPr>
                <w:rFonts w:ascii="Arial" w:hAnsi="Arial" w:cs="Arial"/>
                <w:sz w:val="24"/>
                <w:szCs w:val="24"/>
              </w:rPr>
            </w:pPr>
            <w:r>
              <w:rPr>
                <w:rFonts w:ascii="Arial" w:hAnsi="Arial" w:cs="Arial"/>
                <w:sz w:val="24"/>
                <w:szCs w:val="24"/>
              </w:rPr>
              <w:t>Sept 22</w:t>
            </w:r>
          </w:p>
        </w:tc>
      </w:tr>
      <w:tr>
        <w:trPr>
          <w:trHeight w:val="58"/>
        </w:trPr>
        <w:tc>
          <w:tcPr>
            <w:tcW w:w="14885" w:type="dxa"/>
            <w:gridSpan w:val="18"/>
            <w:shd w:val="clear" w:color="auto" w:fill="BDD6EE" w:themeFill="accent1" w:themeFillTint="66"/>
          </w:tcPr>
          <w:p>
            <w:pPr>
              <w:rPr>
                <w:rFonts w:ascii="Arial" w:hAnsi="Arial" w:cs="Arial"/>
                <w:sz w:val="24"/>
                <w:szCs w:val="24"/>
              </w:rPr>
            </w:pPr>
            <w:r>
              <w:rPr>
                <w:rFonts w:ascii="Arial" w:eastAsia="Arial" w:hAnsi="Arial" w:cs="Arial"/>
                <w:b/>
                <w:color w:val="0D0D0D"/>
                <w:sz w:val="24"/>
                <w:lang w:val="en-US"/>
              </w:rPr>
              <w:t>2. Current attainment</w:t>
            </w:r>
          </w:p>
        </w:tc>
      </w:tr>
      <w:tr>
        <w:trPr>
          <w:trHeight w:val="58"/>
        </w:trPr>
        <w:tc>
          <w:tcPr>
            <w:tcW w:w="4817" w:type="dxa"/>
            <w:gridSpan w:val="7"/>
          </w:tcPr>
          <w:p>
            <w:pPr>
              <w:rPr>
                <w:rFonts w:ascii="Arial" w:hAnsi="Arial" w:cs="Arial"/>
                <w:sz w:val="24"/>
                <w:szCs w:val="24"/>
              </w:rPr>
            </w:pPr>
          </w:p>
        </w:tc>
        <w:tc>
          <w:tcPr>
            <w:tcW w:w="4681" w:type="dxa"/>
            <w:gridSpan w:val="6"/>
          </w:tcPr>
          <w:p>
            <w:pPr>
              <w:rPr>
                <w:rFonts w:ascii="Arial" w:hAnsi="Arial" w:cs="Arial"/>
                <w:b/>
                <w:sz w:val="24"/>
                <w:szCs w:val="24"/>
              </w:rPr>
            </w:pPr>
            <w:r>
              <w:rPr>
                <w:rFonts w:ascii="Arial" w:hAnsi="Arial" w:cs="Arial"/>
                <w:b/>
                <w:sz w:val="24"/>
                <w:szCs w:val="24"/>
              </w:rPr>
              <w:t>Pupils eligible for PP (your school)</w:t>
            </w:r>
          </w:p>
        </w:tc>
        <w:tc>
          <w:tcPr>
            <w:tcW w:w="5387" w:type="dxa"/>
            <w:gridSpan w:val="5"/>
          </w:tcPr>
          <w:p>
            <w:pPr>
              <w:rPr>
                <w:rFonts w:ascii="Arial" w:hAnsi="Arial" w:cs="Arial"/>
                <w:b/>
                <w:sz w:val="24"/>
                <w:szCs w:val="24"/>
              </w:rPr>
            </w:pPr>
            <w:r>
              <w:rPr>
                <w:rFonts w:ascii="Arial" w:hAnsi="Arial" w:cs="Arial"/>
                <w:b/>
                <w:sz w:val="24"/>
                <w:szCs w:val="24"/>
              </w:rPr>
              <w:t>Pupils not eligible for PP(National average)</w:t>
            </w:r>
          </w:p>
        </w:tc>
      </w:tr>
      <w:tr>
        <w:trPr>
          <w:trHeight w:val="58"/>
        </w:trPr>
        <w:tc>
          <w:tcPr>
            <w:tcW w:w="4817" w:type="dxa"/>
            <w:gridSpan w:val="7"/>
          </w:tcPr>
          <w:p>
            <w:pPr>
              <w:rPr>
                <w:rFonts w:ascii="Arial" w:hAnsi="Arial" w:cs="Arial"/>
                <w:b/>
                <w:color w:val="0D0D0D"/>
                <w:sz w:val="24"/>
                <w:szCs w:val="24"/>
              </w:rPr>
            </w:pPr>
            <w:r>
              <w:rPr>
                <w:rFonts w:ascii="Arial" w:hAnsi="Arial" w:cs="Arial"/>
                <w:b/>
                <w:color w:val="0D0D0D"/>
                <w:sz w:val="24"/>
                <w:szCs w:val="24"/>
              </w:rPr>
              <w:t>Progress 8 Score Average (2018-2019)</w:t>
            </w:r>
          </w:p>
          <w:p>
            <w:pPr>
              <w:rPr>
                <w:rFonts w:ascii="Arial" w:hAnsi="Arial" w:cs="Arial"/>
                <w:sz w:val="24"/>
                <w:szCs w:val="24"/>
              </w:rPr>
            </w:pPr>
            <w:r>
              <w:rPr>
                <w:rFonts w:ascii="Arial" w:hAnsi="Arial" w:cs="Arial"/>
                <w:b/>
                <w:color w:val="0D0D0D"/>
                <w:sz w:val="24"/>
                <w:szCs w:val="24"/>
              </w:rPr>
              <w:t>Last official exams</w:t>
            </w:r>
          </w:p>
        </w:tc>
        <w:tc>
          <w:tcPr>
            <w:tcW w:w="4681" w:type="dxa"/>
            <w:gridSpan w:val="6"/>
          </w:tcPr>
          <w:p>
            <w:pPr>
              <w:rPr>
                <w:rFonts w:ascii="Arial" w:hAnsi="Arial" w:cs="Arial"/>
                <w:sz w:val="24"/>
                <w:szCs w:val="24"/>
              </w:rPr>
            </w:pPr>
            <w:r>
              <w:rPr>
                <w:rFonts w:ascii="Arial" w:hAnsi="Arial" w:cs="Arial"/>
                <w:sz w:val="24"/>
                <w:szCs w:val="24"/>
              </w:rPr>
              <w:t>-1.0</w:t>
            </w:r>
          </w:p>
        </w:tc>
        <w:tc>
          <w:tcPr>
            <w:tcW w:w="5387" w:type="dxa"/>
            <w:gridSpan w:val="5"/>
            <w:vMerge w:val="restart"/>
          </w:tcPr>
          <w:p>
            <w:pPr>
              <w:rPr>
                <w:rFonts w:ascii="Arial" w:hAnsi="Arial" w:cs="Arial"/>
                <w:sz w:val="24"/>
                <w:szCs w:val="24"/>
              </w:rPr>
            </w:pPr>
          </w:p>
          <w:p>
            <w:pPr>
              <w:rPr>
                <w:rFonts w:ascii="Arial" w:hAnsi="Arial" w:cs="Arial"/>
                <w:sz w:val="24"/>
                <w:szCs w:val="24"/>
              </w:rPr>
            </w:pPr>
          </w:p>
          <w:p>
            <w:pPr>
              <w:jc w:val="center"/>
              <w:rPr>
                <w:rFonts w:ascii="Arial" w:hAnsi="Arial" w:cs="Arial"/>
                <w:sz w:val="24"/>
                <w:szCs w:val="24"/>
              </w:rPr>
            </w:pPr>
            <w:r>
              <w:rPr>
                <w:rFonts w:ascii="Arial" w:hAnsi="Arial" w:cs="Arial"/>
                <w:sz w:val="24"/>
                <w:szCs w:val="24"/>
              </w:rPr>
              <w:t>+0.13 (2018-2019)</w:t>
            </w:r>
          </w:p>
        </w:tc>
      </w:tr>
      <w:tr>
        <w:trPr>
          <w:trHeight w:val="58"/>
        </w:trPr>
        <w:tc>
          <w:tcPr>
            <w:tcW w:w="4817" w:type="dxa"/>
            <w:gridSpan w:val="7"/>
          </w:tcPr>
          <w:p>
            <w:pPr>
              <w:rPr>
                <w:rFonts w:ascii="Arial" w:hAnsi="Arial" w:cs="Arial"/>
                <w:b/>
                <w:color w:val="0D0D0D"/>
                <w:sz w:val="24"/>
                <w:szCs w:val="24"/>
              </w:rPr>
            </w:pPr>
            <w:r>
              <w:rPr>
                <w:rFonts w:ascii="Arial" w:hAnsi="Arial" w:cs="Arial"/>
                <w:b/>
                <w:color w:val="0D0D0D"/>
                <w:sz w:val="24"/>
                <w:szCs w:val="24"/>
              </w:rPr>
              <w:t>Progress 8 Score Average (2019-2020)</w:t>
            </w:r>
          </w:p>
          <w:p>
            <w:pPr>
              <w:rPr>
                <w:rFonts w:ascii="Arial" w:hAnsi="Arial" w:cs="Arial"/>
                <w:b/>
                <w:color w:val="0D0D0D"/>
                <w:sz w:val="24"/>
                <w:szCs w:val="24"/>
              </w:rPr>
            </w:pPr>
            <w:r>
              <w:rPr>
                <w:rFonts w:ascii="Arial" w:hAnsi="Arial" w:cs="Arial"/>
                <w:b/>
                <w:color w:val="0D0D0D"/>
                <w:sz w:val="24"/>
                <w:szCs w:val="24"/>
              </w:rPr>
              <w:t>Centre Assessed Grades</w:t>
            </w:r>
          </w:p>
        </w:tc>
        <w:tc>
          <w:tcPr>
            <w:tcW w:w="4681" w:type="dxa"/>
            <w:gridSpan w:val="6"/>
          </w:tcPr>
          <w:p>
            <w:pPr>
              <w:rPr>
                <w:rFonts w:ascii="Arial" w:hAnsi="Arial" w:cs="Arial"/>
                <w:sz w:val="24"/>
                <w:szCs w:val="24"/>
              </w:rPr>
            </w:pPr>
            <w:r>
              <w:rPr>
                <w:rFonts w:ascii="Arial" w:hAnsi="Arial" w:cs="Arial"/>
                <w:sz w:val="24"/>
                <w:szCs w:val="24"/>
              </w:rPr>
              <w:t>-</w:t>
            </w:r>
          </w:p>
        </w:tc>
        <w:tc>
          <w:tcPr>
            <w:tcW w:w="5387" w:type="dxa"/>
            <w:gridSpan w:val="5"/>
            <w:vMerge/>
          </w:tcPr>
          <w:p>
            <w:pPr>
              <w:rPr>
                <w:rFonts w:ascii="Arial" w:hAnsi="Arial" w:cs="Arial"/>
                <w:sz w:val="24"/>
                <w:szCs w:val="24"/>
              </w:rPr>
            </w:pPr>
          </w:p>
        </w:tc>
      </w:tr>
      <w:tr>
        <w:trPr>
          <w:trHeight w:val="58"/>
        </w:trPr>
        <w:tc>
          <w:tcPr>
            <w:tcW w:w="4817" w:type="dxa"/>
            <w:gridSpan w:val="7"/>
          </w:tcPr>
          <w:p>
            <w:pPr>
              <w:rPr>
                <w:rFonts w:ascii="Arial" w:hAnsi="Arial" w:cs="Arial"/>
                <w:b/>
                <w:color w:val="0D0D0D"/>
                <w:sz w:val="24"/>
                <w:szCs w:val="24"/>
              </w:rPr>
            </w:pPr>
            <w:r>
              <w:rPr>
                <w:rFonts w:ascii="Arial" w:hAnsi="Arial" w:cs="Arial"/>
                <w:b/>
                <w:color w:val="0D0D0D"/>
                <w:sz w:val="24"/>
                <w:szCs w:val="24"/>
              </w:rPr>
              <w:t>Progress 8 Score Average (2020-2021)</w:t>
            </w:r>
          </w:p>
          <w:p>
            <w:pPr>
              <w:rPr>
                <w:rFonts w:ascii="Arial" w:hAnsi="Arial" w:cs="Arial"/>
                <w:b/>
                <w:color w:val="0D0D0D"/>
                <w:sz w:val="24"/>
                <w:szCs w:val="24"/>
              </w:rPr>
            </w:pPr>
            <w:r>
              <w:rPr>
                <w:rFonts w:ascii="Arial" w:hAnsi="Arial" w:cs="Arial"/>
                <w:b/>
                <w:color w:val="0D0D0D"/>
                <w:sz w:val="24"/>
                <w:szCs w:val="24"/>
              </w:rPr>
              <w:t>Teacher Assessed Grades</w:t>
            </w:r>
          </w:p>
        </w:tc>
        <w:tc>
          <w:tcPr>
            <w:tcW w:w="4681" w:type="dxa"/>
            <w:gridSpan w:val="6"/>
          </w:tcPr>
          <w:p>
            <w:pPr>
              <w:rPr>
                <w:rFonts w:ascii="Arial" w:hAnsi="Arial" w:cs="Arial"/>
                <w:sz w:val="24"/>
                <w:szCs w:val="24"/>
              </w:rPr>
            </w:pPr>
            <w:r>
              <w:rPr>
                <w:rFonts w:ascii="Arial" w:hAnsi="Arial" w:cs="Arial"/>
                <w:sz w:val="24"/>
                <w:szCs w:val="24"/>
              </w:rPr>
              <w:t>-</w:t>
            </w:r>
          </w:p>
        </w:tc>
        <w:tc>
          <w:tcPr>
            <w:tcW w:w="5387" w:type="dxa"/>
            <w:gridSpan w:val="5"/>
            <w:vMerge/>
          </w:tcPr>
          <w:p>
            <w:pPr>
              <w:rPr>
                <w:rFonts w:ascii="Arial" w:hAnsi="Arial" w:cs="Arial"/>
                <w:sz w:val="24"/>
                <w:szCs w:val="24"/>
              </w:rPr>
            </w:pPr>
          </w:p>
        </w:tc>
      </w:tr>
      <w:tr>
        <w:trPr>
          <w:trHeight w:val="58"/>
        </w:trPr>
        <w:tc>
          <w:tcPr>
            <w:tcW w:w="4817" w:type="dxa"/>
            <w:gridSpan w:val="7"/>
          </w:tcPr>
          <w:p>
            <w:pPr>
              <w:rPr>
                <w:rFonts w:ascii="Arial" w:hAnsi="Arial" w:cs="Arial"/>
                <w:b/>
                <w:color w:val="0D0D0D"/>
                <w:sz w:val="24"/>
                <w:szCs w:val="24"/>
              </w:rPr>
            </w:pPr>
            <w:r>
              <w:rPr>
                <w:rFonts w:ascii="Arial" w:hAnsi="Arial" w:cs="Arial"/>
                <w:b/>
                <w:color w:val="0D0D0D"/>
                <w:sz w:val="24"/>
                <w:szCs w:val="24"/>
              </w:rPr>
              <w:t>Attainment 8 Score Average(2018-2019)</w:t>
            </w:r>
          </w:p>
          <w:p>
            <w:pPr>
              <w:rPr>
                <w:rFonts w:ascii="Arial" w:hAnsi="Arial" w:cs="Arial"/>
                <w:sz w:val="24"/>
                <w:szCs w:val="24"/>
              </w:rPr>
            </w:pPr>
            <w:r>
              <w:rPr>
                <w:rFonts w:ascii="Arial" w:hAnsi="Arial" w:cs="Arial"/>
                <w:b/>
                <w:color w:val="0D0D0D"/>
                <w:sz w:val="24"/>
                <w:szCs w:val="24"/>
              </w:rPr>
              <w:t>Last official exams</w:t>
            </w:r>
          </w:p>
        </w:tc>
        <w:tc>
          <w:tcPr>
            <w:tcW w:w="4681" w:type="dxa"/>
            <w:gridSpan w:val="6"/>
          </w:tcPr>
          <w:p>
            <w:pPr>
              <w:rPr>
                <w:rFonts w:ascii="Arial" w:hAnsi="Arial" w:cs="Arial"/>
                <w:sz w:val="24"/>
                <w:szCs w:val="24"/>
              </w:rPr>
            </w:pPr>
            <w:r>
              <w:rPr>
                <w:rFonts w:ascii="Arial" w:hAnsi="Arial" w:cs="Arial"/>
                <w:sz w:val="24"/>
                <w:szCs w:val="24"/>
              </w:rPr>
              <w:t>29.93</w:t>
            </w:r>
          </w:p>
        </w:tc>
        <w:tc>
          <w:tcPr>
            <w:tcW w:w="5387" w:type="dxa"/>
            <w:gridSpan w:val="5"/>
            <w:vMerge w:val="restart"/>
          </w:tcPr>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50.3 (2018-2019)</w:t>
            </w:r>
          </w:p>
        </w:tc>
      </w:tr>
      <w:tr>
        <w:trPr>
          <w:trHeight w:val="58"/>
        </w:trPr>
        <w:tc>
          <w:tcPr>
            <w:tcW w:w="4817" w:type="dxa"/>
            <w:gridSpan w:val="7"/>
          </w:tcPr>
          <w:p>
            <w:pPr>
              <w:rPr>
                <w:rFonts w:ascii="Arial" w:hAnsi="Arial" w:cs="Arial"/>
                <w:b/>
                <w:color w:val="0D0D0D"/>
                <w:sz w:val="24"/>
                <w:szCs w:val="24"/>
              </w:rPr>
            </w:pPr>
            <w:r>
              <w:rPr>
                <w:rFonts w:ascii="Arial" w:hAnsi="Arial" w:cs="Arial"/>
                <w:b/>
                <w:color w:val="0D0D0D"/>
                <w:sz w:val="24"/>
                <w:szCs w:val="24"/>
              </w:rPr>
              <w:t>Attainment 8 Score Average(2019-2020)</w:t>
            </w:r>
          </w:p>
          <w:p>
            <w:pPr>
              <w:rPr>
                <w:rFonts w:ascii="Arial" w:hAnsi="Arial" w:cs="Arial"/>
                <w:b/>
                <w:color w:val="0D0D0D"/>
                <w:sz w:val="24"/>
                <w:szCs w:val="24"/>
              </w:rPr>
            </w:pPr>
            <w:r>
              <w:rPr>
                <w:rFonts w:ascii="Arial" w:hAnsi="Arial" w:cs="Arial"/>
                <w:b/>
                <w:color w:val="0D0D0D"/>
                <w:sz w:val="24"/>
                <w:szCs w:val="24"/>
              </w:rPr>
              <w:t>Centre Assessed Grades</w:t>
            </w:r>
          </w:p>
        </w:tc>
        <w:tc>
          <w:tcPr>
            <w:tcW w:w="4681" w:type="dxa"/>
            <w:gridSpan w:val="6"/>
          </w:tcPr>
          <w:p>
            <w:pPr>
              <w:rPr>
                <w:rFonts w:ascii="Arial" w:hAnsi="Arial" w:cs="Arial"/>
                <w:sz w:val="24"/>
                <w:szCs w:val="24"/>
              </w:rPr>
            </w:pPr>
            <w:r>
              <w:rPr>
                <w:rFonts w:ascii="Arial" w:hAnsi="Arial" w:cs="Arial"/>
                <w:sz w:val="24"/>
                <w:szCs w:val="24"/>
              </w:rPr>
              <w:t>32.80</w:t>
            </w:r>
          </w:p>
        </w:tc>
        <w:tc>
          <w:tcPr>
            <w:tcW w:w="5387" w:type="dxa"/>
            <w:gridSpan w:val="5"/>
            <w:vMerge/>
          </w:tcPr>
          <w:p>
            <w:pPr>
              <w:rPr>
                <w:rFonts w:ascii="Arial" w:hAnsi="Arial" w:cs="Arial"/>
                <w:sz w:val="24"/>
                <w:szCs w:val="24"/>
              </w:rPr>
            </w:pPr>
          </w:p>
        </w:tc>
      </w:tr>
      <w:tr>
        <w:trPr>
          <w:trHeight w:val="58"/>
        </w:trPr>
        <w:tc>
          <w:tcPr>
            <w:tcW w:w="4817" w:type="dxa"/>
            <w:gridSpan w:val="7"/>
          </w:tcPr>
          <w:p>
            <w:pPr>
              <w:rPr>
                <w:rFonts w:ascii="Arial" w:hAnsi="Arial" w:cs="Arial"/>
                <w:b/>
                <w:color w:val="0D0D0D"/>
                <w:sz w:val="24"/>
                <w:szCs w:val="24"/>
              </w:rPr>
            </w:pPr>
            <w:r>
              <w:rPr>
                <w:rFonts w:ascii="Arial" w:hAnsi="Arial" w:cs="Arial"/>
                <w:b/>
                <w:color w:val="0D0D0D"/>
                <w:sz w:val="24"/>
                <w:szCs w:val="24"/>
              </w:rPr>
              <w:t>Attainment 8 Score Average (2020-2021)</w:t>
            </w:r>
          </w:p>
          <w:p>
            <w:pPr>
              <w:rPr>
                <w:rFonts w:ascii="Arial" w:hAnsi="Arial" w:cs="Arial"/>
                <w:sz w:val="24"/>
                <w:szCs w:val="24"/>
              </w:rPr>
            </w:pPr>
            <w:r>
              <w:rPr>
                <w:rFonts w:ascii="Arial" w:hAnsi="Arial" w:cs="Arial"/>
                <w:b/>
                <w:color w:val="0D0D0D"/>
                <w:sz w:val="24"/>
                <w:szCs w:val="24"/>
              </w:rPr>
              <w:t>Teacher Assessed Grades</w:t>
            </w:r>
          </w:p>
        </w:tc>
        <w:tc>
          <w:tcPr>
            <w:tcW w:w="4681" w:type="dxa"/>
            <w:gridSpan w:val="6"/>
          </w:tcPr>
          <w:p>
            <w:pPr>
              <w:rPr>
                <w:rFonts w:ascii="Arial" w:hAnsi="Arial" w:cs="Arial"/>
                <w:sz w:val="24"/>
                <w:szCs w:val="24"/>
              </w:rPr>
            </w:pPr>
            <w:r>
              <w:rPr>
                <w:rFonts w:ascii="Arial" w:hAnsi="Arial" w:cs="Arial"/>
                <w:sz w:val="24"/>
                <w:szCs w:val="24"/>
              </w:rPr>
              <w:t>36.40</w:t>
            </w:r>
          </w:p>
        </w:tc>
        <w:tc>
          <w:tcPr>
            <w:tcW w:w="5387" w:type="dxa"/>
            <w:gridSpan w:val="5"/>
            <w:vMerge/>
          </w:tcPr>
          <w:p>
            <w:pPr>
              <w:rPr>
                <w:rFonts w:ascii="Arial" w:hAnsi="Arial" w:cs="Arial"/>
                <w:sz w:val="24"/>
                <w:szCs w:val="24"/>
              </w:rPr>
            </w:pPr>
          </w:p>
        </w:tc>
      </w:tr>
      <w:tr>
        <w:trPr>
          <w:trHeight w:val="58"/>
        </w:trPr>
        <w:tc>
          <w:tcPr>
            <w:tcW w:w="14885" w:type="dxa"/>
            <w:gridSpan w:val="18"/>
            <w:shd w:val="clear" w:color="auto" w:fill="BDD6EE" w:themeFill="accent1" w:themeFillTint="66"/>
          </w:tcPr>
          <w:p>
            <w:pPr>
              <w:rPr>
                <w:rFonts w:ascii="Arial" w:hAnsi="Arial" w:cs="Arial"/>
                <w:sz w:val="24"/>
                <w:szCs w:val="24"/>
              </w:rPr>
            </w:pPr>
            <w:r>
              <w:rPr>
                <w:rFonts w:ascii="Arial" w:hAnsi="Arial" w:cs="Arial"/>
                <w:b/>
                <w:sz w:val="24"/>
                <w:szCs w:val="24"/>
                <w:lang w:val="en-US"/>
              </w:rPr>
              <w:t>3. Barriers to future attainment (for pupils eligible for PP)</w:t>
            </w:r>
          </w:p>
        </w:tc>
      </w:tr>
      <w:tr>
        <w:trPr>
          <w:trHeight w:val="58"/>
        </w:trPr>
        <w:tc>
          <w:tcPr>
            <w:tcW w:w="14885" w:type="dxa"/>
            <w:gridSpan w:val="18"/>
            <w:shd w:val="clear" w:color="auto" w:fill="BDD6EE" w:themeFill="accent1" w:themeFillTint="66"/>
          </w:tcPr>
          <w:p>
            <w:pPr>
              <w:rPr>
                <w:rFonts w:ascii="Arial" w:hAnsi="Arial" w:cs="Arial"/>
                <w:sz w:val="24"/>
                <w:szCs w:val="24"/>
              </w:rPr>
            </w:pPr>
            <w:r>
              <w:rPr>
                <w:rFonts w:ascii="Arial" w:hAnsi="Arial" w:cs="Arial"/>
                <w:b/>
                <w:sz w:val="24"/>
                <w:szCs w:val="24"/>
                <w:lang w:val="en-US"/>
              </w:rPr>
              <w:t xml:space="preserve">Academic barriers </w:t>
            </w:r>
            <w:r>
              <w:rPr>
                <w:rFonts w:ascii="Arial" w:hAnsi="Arial" w:cs="Arial"/>
                <w:i/>
                <w:sz w:val="24"/>
                <w:szCs w:val="24"/>
                <w:lang w:val="en-US"/>
              </w:rPr>
              <w:t>(issues to be addressed in school, such as poor literacy skills)</w:t>
            </w:r>
          </w:p>
        </w:tc>
      </w:tr>
      <w:tr>
        <w:trPr>
          <w:trHeight w:val="58"/>
        </w:trPr>
        <w:tc>
          <w:tcPr>
            <w:tcW w:w="566" w:type="dxa"/>
          </w:tcPr>
          <w:p>
            <w:pPr>
              <w:rPr>
                <w:rFonts w:ascii="Arial" w:hAnsi="Arial" w:cs="Arial"/>
                <w:b/>
                <w:sz w:val="24"/>
                <w:szCs w:val="24"/>
              </w:rPr>
            </w:pPr>
            <w:r>
              <w:rPr>
                <w:rFonts w:ascii="Arial" w:hAnsi="Arial" w:cs="Arial"/>
                <w:b/>
                <w:sz w:val="24"/>
                <w:szCs w:val="24"/>
              </w:rPr>
              <w:t>A.</w:t>
            </w:r>
          </w:p>
        </w:tc>
        <w:tc>
          <w:tcPr>
            <w:tcW w:w="14319" w:type="dxa"/>
            <w:gridSpan w:val="17"/>
          </w:tcPr>
          <w:p>
            <w:pPr>
              <w:rPr>
                <w:rFonts w:ascii="Arial" w:hAnsi="Arial" w:cs="Arial"/>
                <w:sz w:val="24"/>
                <w:szCs w:val="24"/>
              </w:rPr>
            </w:pPr>
            <w:r>
              <w:rPr>
                <w:rFonts w:ascii="Arial" w:hAnsi="Arial" w:cs="Arial"/>
                <w:sz w:val="24"/>
                <w:szCs w:val="24"/>
              </w:rPr>
              <w:t xml:space="preserve">Over a third of our year 7 students have a reading age below the age of 8 years. 66% of these students are eligible for PP. In other KS3 year groups between 7% and 10% of PP students have a reading age below the age of 7 years. In year 7 the average reading age for pp students is 10 years 1 months. This is 5 months behind students who are non PP. </w:t>
            </w:r>
          </w:p>
        </w:tc>
      </w:tr>
      <w:tr>
        <w:trPr>
          <w:trHeight w:val="58"/>
        </w:trPr>
        <w:tc>
          <w:tcPr>
            <w:tcW w:w="566" w:type="dxa"/>
          </w:tcPr>
          <w:p>
            <w:pPr>
              <w:rPr>
                <w:rFonts w:ascii="Arial" w:hAnsi="Arial" w:cs="Arial"/>
                <w:b/>
                <w:sz w:val="24"/>
                <w:szCs w:val="24"/>
              </w:rPr>
            </w:pPr>
            <w:r>
              <w:rPr>
                <w:rFonts w:ascii="Arial" w:hAnsi="Arial" w:cs="Arial"/>
                <w:b/>
                <w:sz w:val="24"/>
                <w:szCs w:val="24"/>
              </w:rPr>
              <w:lastRenderedPageBreak/>
              <w:t>B.</w:t>
            </w:r>
          </w:p>
        </w:tc>
        <w:tc>
          <w:tcPr>
            <w:tcW w:w="14319" w:type="dxa"/>
            <w:gridSpan w:val="17"/>
          </w:tcPr>
          <w:p>
            <w:pPr>
              <w:rPr>
                <w:rFonts w:ascii="Arial" w:hAnsi="Arial" w:cs="Arial"/>
                <w:sz w:val="24"/>
                <w:szCs w:val="24"/>
              </w:rPr>
            </w:pPr>
            <w:r>
              <w:rPr>
                <w:rFonts w:ascii="Arial" w:hAnsi="Arial" w:cs="Arial"/>
                <w:sz w:val="24"/>
                <w:szCs w:val="24"/>
              </w:rPr>
              <w:t>Historically at KHS, the high and middle ability students underperform when compared to non pp students nationally and in our school, especially boys (IDSR) TAGs 2019-2020 show PP high and middle ability students were on average half a grade behind their FFT50 minimum expectation (High – 6.84 and middle -5.81) Non pp students exceeded their FFT50 minimum expectation.</w:t>
            </w:r>
          </w:p>
        </w:tc>
      </w:tr>
      <w:tr>
        <w:trPr>
          <w:trHeight w:val="58"/>
        </w:trPr>
        <w:tc>
          <w:tcPr>
            <w:tcW w:w="566" w:type="dxa"/>
          </w:tcPr>
          <w:p>
            <w:pPr>
              <w:rPr>
                <w:rFonts w:ascii="Arial" w:hAnsi="Arial" w:cs="Arial"/>
                <w:b/>
                <w:sz w:val="24"/>
                <w:szCs w:val="24"/>
              </w:rPr>
            </w:pPr>
            <w:r>
              <w:rPr>
                <w:rFonts w:ascii="Arial" w:hAnsi="Arial" w:cs="Arial"/>
                <w:b/>
                <w:sz w:val="24"/>
                <w:szCs w:val="24"/>
              </w:rPr>
              <w:t>C.</w:t>
            </w:r>
          </w:p>
        </w:tc>
        <w:tc>
          <w:tcPr>
            <w:tcW w:w="14319" w:type="dxa"/>
            <w:gridSpan w:val="17"/>
          </w:tcPr>
          <w:p>
            <w:pPr>
              <w:rPr>
                <w:rFonts w:ascii="Arial" w:hAnsi="Arial" w:cs="Arial"/>
                <w:sz w:val="24"/>
                <w:szCs w:val="24"/>
              </w:rPr>
            </w:pPr>
            <w:r>
              <w:rPr>
                <w:rFonts w:ascii="Arial" w:hAnsi="Arial" w:cs="Arial"/>
                <w:sz w:val="24"/>
                <w:szCs w:val="24"/>
              </w:rPr>
              <w:t>KHS is located in an area of significant deprivation and the students who attend Kirkby High live in the top 20% of deprivation according to the IDACI profile (Income Deprivation Affecting Children Index profile). Some students who arrive on high standardised scores and who are pp have low aspirations and this impacts on attainment and post 16 destinations. In current year 11 28% were above 106 in the standardised reading score where as 72% were below this. Never confuse eligibility for pupil premium with low ability’ (The Pupil Premium How Schools are spending the funding – Ofsted)</w:t>
            </w:r>
          </w:p>
        </w:tc>
      </w:tr>
      <w:tr>
        <w:trPr>
          <w:trHeight w:val="58"/>
        </w:trPr>
        <w:tc>
          <w:tcPr>
            <w:tcW w:w="566" w:type="dxa"/>
          </w:tcPr>
          <w:p>
            <w:pPr>
              <w:rPr>
                <w:rFonts w:ascii="Arial" w:hAnsi="Arial" w:cs="Arial"/>
                <w:b/>
                <w:sz w:val="24"/>
                <w:szCs w:val="24"/>
              </w:rPr>
            </w:pPr>
            <w:r>
              <w:rPr>
                <w:rFonts w:ascii="Arial" w:hAnsi="Arial" w:cs="Arial"/>
                <w:b/>
                <w:sz w:val="24"/>
                <w:szCs w:val="24"/>
              </w:rPr>
              <w:t>D.</w:t>
            </w:r>
          </w:p>
        </w:tc>
        <w:tc>
          <w:tcPr>
            <w:tcW w:w="14319" w:type="dxa"/>
            <w:gridSpan w:val="17"/>
          </w:tcPr>
          <w:p>
            <w:pPr>
              <w:pStyle w:val="TableRowCentered"/>
              <w:ind w:left="0"/>
              <w:jc w:val="left"/>
              <w:rPr>
                <w:szCs w:val="24"/>
              </w:rPr>
            </w:pPr>
            <w:r>
              <w:rPr>
                <w:szCs w:val="24"/>
              </w:rPr>
              <w:t>Students who are disadvantaged, SEND, LAC, EAL or vulnerable.</w:t>
            </w:r>
          </w:p>
          <w:p>
            <w:pPr>
              <w:pStyle w:val="TableRowCentered"/>
              <w:ind w:left="0"/>
              <w:jc w:val="left"/>
              <w:rPr>
                <w:rFonts w:cs="Arial"/>
                <w:szCs w:val="24"/>
              </w:rPr>
            </w:pPr>
            <w:r>
              <w:rPr>
                <w:rFonts w:cs="Arial"/>
                <w:szCs w:val="24"/>
              </w:rPr>
              <w:t>Students who have SEND need quality first teaching to ensure their individual needs are being met ‘Understand the importance that all day to day teaching meets the needs of each learner, rather than relying on interventions for teacher that are less good’ – Ofsted</w:t>
            </w:r>
          </w:p>
          <w:p>
            <w:pPr>
              <w:pStyle w:val="TableRowCentered"/>
              <w:ind w:left="0"/>
              <w:jc w:val="left"/>
              <w:rPr>
                <w:rFonts w:cs="Arial"/>
                <w:szCs w:val="24"/>
              </w:rPr>
            </w:pPr>
            <w:r>
              <w:rPr>
                <w:rFonts w:cs="Arial"/>
                <w:szCs w:val="24"/>
              </w:rPr>
              <w:t>In Kirkby High School 24% off our children have SEND.</w:t>
            </w:r>
          </w:p>
          <w:p>
            <w:pPr>
              <w:pStyle w:val="TableRowCentered"/>
              <w:ind w:left="0"/>
              <w:jc w:val="left"/>
              <w:rPr>
                <w:rFonts w:cs="Arial"/>
                <w:szCs w:val="24"/>
              </w:rPr>
            </w:pPr>
            <w:r>
              <w:rPr>
                <w:rFonts w:cs="Arial"/>
                <w:szCs w:val="24"/>
              </w:rPr>
              <w:t>CLA - Currently we have 5 children that are looked after that attend Kirkby High School.  There are 3 students in year 7, 1 in year 8 and one in year 11.  Their funding is provided by 3 local authorities but all purchases that are made to benefit the education and wellbeing of the student and is noted in the personal education plan.</w:t>
            </w:r>
          </w:p>
          <w:p>
            <w:pPr>
              <w:pStyle w:val="TableRowCentered"/>
              <w:ind w:left="0"/>
              <w:jc w:val="left"/>
              <w:rPr>
                <w:rFonts w:cs="Arial"/>
                <w:szCs w:val="24"/>
              </w:rPr>
            </w:pPr>
            <w:r>
              <w:rPr>
                <w:rFonts w:cs="Arial"/>
                <w:szCs w:val="24"/>
              </w:rPr>
              <w:t>(We do not have any previously looked after children (PLAC) but understand that any student that do attend that are PLAC will have their social, emotional, and educational needs met, where their needs are identified and necessary.  This will be actively sought through attendance, behaviour, and progress data)</w:t>
            </w:r>
          </w:p>
          <w:p>
            <w:pPr>
              <w:rPr>
                <w:rFonts w:ascii="Arial" w:hAnsi="Arial" w:cs="Arial"/>
                <w:sz w:val="24"/>
                <w:szCs w:val="24"/>
              </w:rPr>
            </w:pPr>
            <w:r>
              <w:rPr>
                <w:rFonts w:ascii="Arial" w:hAnsi="Arial" w:cs="Arial"/>
                <w:sz w:val="24"/>
                <w:szCs w:val="24"/>
              </w:rPr>
              <w:t>Child protection, child in need and early help - Of the students that are currently on caseload 64% are receiving pupil premium.</w:t>
            </w:r>
          </w:p>
          <w:p>
            <w:pPr>
              <w:suppressAutoHyphens/>
              <w:autoSpaceDN w:val="0"/>
              <w:spacing w:line="256" w:lineRule="auto"/>
              <w:textAlignment w:val="baseline"/>
              <w:rPr>
                <w:rFonts w:ascii="Arial" w:eastAsia="Times New Roman" w:hAnsi="Arial" w:cs="Arial"/>
                <w:sz w:val="24"/>
                <w:szCs w:val="24"/>
              </w:rPr>
            </w:pPr>
            <w:r>
              <w:rPr>
                <w:rFonts w:ascii="Arial" w:eastAsia="Times New Roman" w:hAnsi="Arial" w:cs="Arial"/>
                <w:sz w:val="24"/>
                <w:szCs w:val="24"/>
              </w:rPr>
              <w:t>Of the students that are within the safeguarding remit, 88% receive pupil premium.</w:t>
            </w:r>
          </w:p>
          <w:p>
            <w:pPr>
              <w:rPr>
                <w:rFonts w:ascii="Arial" w:hAnsi="Arial" w:cs="Arial"/>
                <w:sz w:val="24"/>
                <w:szCs w:val="24"/>
              </w:rPr>
            </w:pPr>
          </w:p>
        </w:tc>
      </w:tr>
      <w:tr>
        <w:trPr>
          <w:trHeight w:val="58"/>
        </w:trPr>
        <w:tc>
          <w:tcPr>
            <w:tcW w:w="566" w:type="dxa"/>
          </w:tcPr>
          <w:p>
            <w:pPr>
              <w:rPr>
                <w:rFonts w:ascii="Arial" w:hAnsi="Arial" w:cs="Arial"/>
                <w:b/>
                <w:sz w:val="24"/>
                <w:szCs w:val="24"/>
              </w:rPr>
            </w:pPr>
            <w:r>
              <w:rPr>
                <w:rFonts w:ascii="Arial" w:hAnsi="Arial" w:cs="Arial"/>
                <w:b/>
                <w:sz w:val="24"/>
                <w:szCs w:val="24"/>
              </w:rPr>
              <w:t>E.</w:t>
            </w:r>
          </w:p>
        </w:tc>
        <w:tc>
          <w:tcPr>
            <w:tcW w:w="14319" w:type="dxa"/>
            <w:gridSpan w:val="17"/>
          </w:tcPr>
          <w:p>
            <w:pPr>
              <w:rPr>
                <w:rFonts w:ascii="Arial" w:hAnsi="Arial" w:cs="Arial"/>
                <w:sz w:val="24"/>
                <w:szCs w:val="24"/>
              </w:rPr>
            </w:pPr>
            <w:r>
              <w:rPr>
                <w:rFonts w:ascii="Arial" w:hAnsi="Arial" w:cs="Arial"/>
                <w:sz w:val="24"/>
                <w:szCs w:val="24"/>
              </w:rPr>
              <w:t xml:space="preserve">Increased requirement for pastoral care after Covid19- ‘Sustained support will be needed to ensure disadvantages students catch up’ (EEF Jan21). PP students’ positive behaviour points are 95% positive whereas non PP is 97% positive. </w:t>
            </w:r>
          </w:p>
        </w:tc>
      </w:tr>
      <w:tr>
        <w:trPr>
          <w:trHeight w:val="58"/>
        </w:trPr>
        <w:tc>
          <w:tcPr>
            <w:tcW w:w="566" w:type="dxa"/>
          </w:tcPr>
          <w:p>
            <w:pPr>
              <w:rPr>
                <w:rFonts w:ascii="Arial" w:hAnsi="Arial" w:cs="Arial"/>
                <w:b/>
                <w:sz w:val="24"/>
                <w:szCs w:val="24"/>
              </w:rPr>
            </w:pPr>
            <w:r>
              <w:rPr>
                <w:rFonts w:ascii="Arial" w:hAnsi="Arial" w:cs="Arial"/>
                <w:b/>
                <w:sz w:val="24"/>
                <w:szCs w:val="24"/>
              </w:rPr>
              <w:t>F.</w:t>
            </w:r>
          </w:p>
        </w:tc>
        <w:tc>
          <w:tcPr>
            <w:tcW w:w="14319" w:type="dxa"/>
            <w:gridSpan w:val="17"/>
          </w:tcPr>
          <w:p>
            <w:pPr>
              <w:rPr>
                <w:rFonts w:ascii="Arial" w:hAnsi="Arial" w:cs="Arial"/>
                <w:sz w:val="24"/>
                <w:szCs w:val="24"/>
              </w:rPr>
            </w:pPr>
            <w:r>
              <w:rPr>
                <w:rFonts w:ascii="Arial" w:hAnsi="Arial" w:cs="Arial"/>
                <w:sz w:val="24"/>
                <w:szCs w:val="24"/>
              </w:rPr>
              <w:t>Children who are looked after require additional support to ensure their needs are met. This must be on individual basis but ensuring their curriculum is still broad and they have the same opportunities as other students.</w:t>
            </w:r>
          </w:p>
        </w:tc>
      </w:tr>
      <w:tr>
        <w:trPr>
          <w:trHeight w:val="58"/>
        </w:trPr>
        <w:tc>
          <w:tcPr>
            <w:tcW w:w="566" w:type="dxa"/>
          </w:tcPr>
          <w:p>
            <w:pPr>
              <w:rPr>
                <w:rFonts w:ascii="Arial" w:hAnsi="Arial" w:cs="Arial"/>
                <w:b/>
                <w:sz w:val="24"/>
                <w:szCs w:val="24"/>
              </w:rPr>
            </w:pPr>
            <w:r>
              <w:rPr>
                <w:rFonts w:ascii="Arial" w:hAnsi="Arial" w:cs="Arial"/>
                <w:b/>
                <w:sz w:val="24"/>
                <w:szCs w:val="24"/>
              </w:rPr>
              <w:t>G.</w:t>
            </w:r>
          </w:p>
        </w:tc>
        <w:tc>
          <w:tcPr>
            <w:tcW w:w="14319" w:type="dxa"/>
            <w:gridSpan w:val="17"/>
          </w:tcPr>
          <w:p>
            <w:pPr>
              <w:rPr>
                <w:rFonts w:ascii="Arial" w:hAnsi="Arial" w:cs="Arial"/>
                <w:sz w:val="24"/>
                <w:szCs w:val="24"/>
              </w:rPr>
            </w:pPr>
            <w:r>
              <w:rPr>
                <w:rFonts w:ascii="Arial" w:hAnsi="Arial" w:cs="Arial"/>
                <w:sz w:val="24"/>
                <w:szCs w:val="24"/>
              </w:rPr>
              <w:t>KHS currently have 52 EAL students from 16 different languages. There is increasing each year for example Y11(2020-2021) there were only 4 EAL students but in current y11 there are 9. Ensure high expectations for EAL students and ensure staff do not lower their expectations in terms of attainment just because of the language barrier.</w:t>
            </w:r>
          </w:p>
        </w:tc>
      </w:tr>
      <w:tr>
        <w:trPr>
          <w:trHeight w:val="58"/>
        </w:trPr>
        <w:tc>
          <w:tcPr>
            <w:tcW w:w="14885" w:type="dxa"/>
            <w:gridSpan w:val="18"/>
            <w:shd w:val="clear" w:color="auto" w:fill="BDD6EE" w:themeFill="accent1" w:themeFillTint="66"/>
          </w:tcPr>
          <w:p>
            <w:pPr>
              <w:rPr>
                <w:rFonts w:ascii="Arial" w:hAnsi="Arial" w:cs="Arial"/>
                <w:sz w:val="24"/>
                <w:szCs w:val="24"/>
              </w:rPr>
            </w:pPr>
            <w:r>
              <w:rPr>
                <w:rFonts w:ascii="Arial" w:hAnsi="Arial" w:cs="Arial"/>
                <w:b/>
                <w:sz w:val="24"/>
                <w:szCs w:val="24"/>
                <w:lang w:val="en-US"/>
              </w:rPr>
              <w:t xml:space="preserve">Additional barriers </w:t>
            </w:r>
            <w:r>
              <w:rPr>
                <w:rFonts w:ascii="Arial" w:hAnsi="Arial" w:cs="Arial"/>
                <w:i/>
                <w:sz w:val="24"/>
                <w:szCs w:val="24"/>
                <w:lang w:val="en-US"/>
              </w:rPr>
              <w:t>(including issues which also require action outside school, such as low attendance rates)</w:t>
            </w:r>
          </w:p>
        </w:tc>
      </w:tr>
      <w:tr>
        <w:trPr>
          <w:trHeight w:val="58"/>
        </w:trPr>
        <w:tc>
          <w:tcPr>
            <w:tcW w:w="566" w:type="dxa"/>
            <w:shd w:val="clear" w:color="auto" w:fill="auto"/>
          </w:tcPr>
          <w:p>
            <w:pPr>
              <w:rPr>
                <w:rFonts w:ascii="Arial" w:hAnsi="Arial" w:cs="Arial"/>
                <w:b/>
                <w:sz w:val="24"/>
                <w:szCs w:val="24"/>
                <w:lang w:val="en-US"/>
              </w:rPr>
            </w:pPr>
            <w:r>
              <w:rPr>
                <w:rFonts w:ascii="Arial" w:hAnsi="Arial" w:cs="Arial"/>
                <w:b/>
                <w:sz w:val="24"/>
                <w:szCs w:val="24"/>
                <w:lang w:val="en-US"/>
              </w:rPr>
              <w:t>H.</w:t>
            </w:r>
          </w:p>
        </w:tc>
        <w:tc>
          <w:tcPr>
            <w:tcW w:w="14319" w:type="dxa"/>
            <w:gridSpan w:val="17"/>
            <w:shd w:val="clear" w:color="auto" w:fill="auto"/>
          </w:tcPr>
          <w:p>
            <w:pPr>
              <w:rPr>
                <w:i/>
                <w:color w:val="70AD47" w:themeColor="accent6"/>
                <w:sz w:val="18"/>
                <w:szCs w:val="18"/>
              </w:rPr>
            </w:pPr>
          </w:p>
          <w:p>
            <w:pPr>
              <w:rPr>
                <w:rFonts w:ascii="Arial" w:hAnsi="Arial" w:cs="Arial"/>
                <w:sz w:val="24"/>
                <w:szCs w:val="24"/>
              </w:rPr>
            </w:pPr>
            <w:r>
              <w:rPr>
                <w:rFonts w:ascii="Arial" w:hAnsi="Arial" w:cs="Arial"/>
                <w:sz w:val="24"/>
                <w:szCs w:val="24"/>
              </w:rPr>
              <w:lastRenderedPageBreak/>
              <w:t>The gap between students eligible for pupil premium and non-pupil premium from September to half term 5 was -6.0. This is showing signs of closure as the year has progressed. (HT1 -7.3%, HT 5 -4.6%) However there was still a gap between PP and non pp which reflected the national picture and the need to increase the capacity of the attendance team (EEF Jan21)</w:t>
            </w:r>
          </w:p>
        </w:tc>
      </w:tr>
      <w:tr>
        <w:trPr>
          <w:trHeight w:val="58"/>
        </w:trPr>
        <w:tc>
          <w:tcPr>
            <w:tcW w:w="566" w:type="dxa"/>
            <w:shd w:val="clear" w:color="auto" w:fill="auto"/>
          </w:tcPr>
          <w:p>
            <w:pPr>
              <w:rPr>
                <w:rFonts w:ascii="Arial" w:hAnsi="Arial" w:cs="Arial"/>
                <w:b/>
                <w:sz w:val="24"/>
                <w:szCs w:val="24"/>
                <w:lang w:val="en-US"/>
              </w:rPr>
            </w:pPr>
            <w:r>
              <w:rPr>
                <w:rFonts w:ascii="Arial" w:hAnsi="Arial" w:cs="Arial"/>
                <w:b/>
                <w:sz w:val="24"/>
                <w:szCs w:val="24"/>
                <w:lang w:val="en-US"/>
              </w:rPr>
              <w:lastRenderedPageBreak/>
              <w:t>I.</w:t>
            </w:r>
          </w:p>
        </w:tc>
        <w:tc>
          <w:tcPr>
            <w:tcW w:w="14319" w:type="dxa"/>
            <w:gridSpan w:val="17"/>
            <w:shd w:val="clear" w:color="auto" w:fill="auto"/>
          </w:tcPr>
          <w:p>
            <w:pPr>
              <w:rPr>
                <w:rFonts w:ascii="Arial" w:hAnsi="Arial" w:cs="Arial"/>
                <w:sz w:val="24"/>
                <w:szCs w:val="24"/>
                <w:lang w:val="en-US"/>
              </w:rPr>
            </w:pPr>
            <w:r>
              <w:rPr>
                <w:rFonts w:ascii="Arial" w:hAnsi="Arial" w:cs="Arial"/>
                <w:sz w:val="24"/>
                <w:szCs w:val="24"/>
                <w:lang w:val="en-US"/>
              </w:rPr>
              <w:t>Broadening school experiences and increasing cultural capital is still a priority at Kirkby High School to impact on wellbeing and academic subjects.</w:t>
            </w:r>
          </w:p>
        </w:tc>
      </w:tr>
      <w:tr>
        <w:trPr>
          <w:trHeight w:val="58"/>
        </w:trPr>
        <w:tc>
          <w:tcPr>
            <w:tcW w:w="566" w:type="dxa"/>
            <w:shd w:val="clear" w:color="auto" w:fill="auto"/>
          </w:tcPr>
          <w:p>
            <w:pPr>
              <w:rPr>
                <w:rFonts w:ascii="Arial" w:hAnsi="Arial" w:cs="Arial"/>
                <w:b/>
                <w:sz w:val="24"/>
                <w:szCs w:val="24"/>
                <w:lang w:val="en-US"/>
              </w:rPr>
            </w:pPr>
            <w:r>
              <w:rPr>
                <w:rFonts w:ascii="Arial" w:hAnsi="Arial" w:cs="Arial"/>
                <w:b/>
                <w:sz w:val="24"/>
                <w:szCs w:val="24"/>
                <w:lang w:val="en-US"/>
              </w:rPr>
              <w:t>J</w:t>
            </w:r>
          </w:p>
        </w:tc>
        <w:tc>
          <w:tcPr>
            <w:tcW w:w="14319" w:type="dxa"/>
            <w:gridSpan w:val="17"/>
            <w:shd w:val="clear" w:color="auto" w:fill="auto"/>
          </w:tcPr>
          <w:p>
            <w:pPr>
              <w:rPr>
                <w:rFonts w:ascii="Arial" w:hAnsi="Arial" w:cs="Arial"/>
                <w:sz w:val="24"/>
                <w:szCs w:val="24"/>
                <w:lang w:val="en-US"/>
              </w:rPr>
            </w:pPr>
            <w:r>
              <w:rPr>
                <w:rFonts w:ascii="Arial" w:hAnsi="Arial" w:cs="Arial"/>
                <w:sz w:val="24"/>
                <w:szCs w:val="24"/>
              </w:rPr>
              <w:t>‘Disadvantaged pupils are twice as likely not to be in education, employment or training and are at a higher risk of poverty as adults’. (DfE, 2015). Government want to support this by raising entries to Ebacc qualifications. In KHS the number of students entered for Ebacc is rising (+6% in current y11, and + 15% in current y10 but we are reviewing the structure of the options process to improve this further. (DfE targets 75% by 2022 and 90% by 2025)</w:t>
            </w:r>
          </w:p>
        </w:tc>
      </w:tr>
      <w:tr>
        <w:trPr>
          <w:trHeight w:val="58"/>
        </w:trPr>
        <w:tc>
          <w:tcPr>
            <w:tcW w:w="7370" w:type="dxa"/>
            <w:gridSpan w:val="9"/>
            <w:shd w:val="clear" w:color="auto" w:fill="BDD6EE" w:themeFill="accent1" w:themeFillTint="66"/>
          </w:tcPr>
          <w:p>
            <w:pPr>
              <w:rPr>
                <w:rFonts w:ascii="Arial" w:hAnsi="Arial" w:cs="Arial"/>
                <w:b/>
                <w:sz w:val="24"/>
                <w:szCs w:val="24"/>
                <w:lang w:val="en-US"/>
              </w:rPr>
            </w:pPr>
            <w:r>
              <w:rPr>
                <w:rFonts w:ascii="Arial" w:hAnsi="Arial" w:cs="Arial"/>
                <w:b/>
                <w:sz w:val="24"/>
                <w:szCs w:val="24"/>
                <w:lang w:val="en-US"/>
              </w:rPr>
              <w:t>4. Intended outcomes (specific outcomes and how they will be measured)</w:t>
            </w:r>
          </w:p>
        </w:tc>
        <w:tc>
          <w:tcPr>
            <w:tcW w:w="7515" w:type="dxa"/>
            <w:gridSpan w:val="9"/>
            <w:shd w:val="clear" w:color="auto" w:fill="BDD6EE" w:themeFill="accent1" w:themeFillTint="66"/>
          </w:tcPr>
          <w:p>
            <w:pPr>
              <w:rPr>
                <w:rFonts w:ascii="Arial" w:hAnsi="Arial" w:cs="Arial"/>
                <w:b/>
                <w:sz w:val="24"/>
                <w:szCs w:val="24"/>
                <w:lang w:val="en-US"/>
              </w:rPr>
            </w:pPr>
            <w:r>
              <w:rPr>
                <w:rFonts w:ascii="Arial" w:hAnsi="Arial" w:cs="Arial"/>
                <w:b/>
                <w:sz w:val="24"/>
                <w:szCs w:val="24"/>
                <w:lang w:val="en-US"/>
              </w:rPr>
              <w:t>Success Criteria</w:t>
            </w:r>
          </w:p>
        </w:tc>
      </w:tr>
      <w:tr>
        <w:trPr>
          <w:trHeight w:val="58"/>
        </w:trPr>
        <w:tc>
          <w:tcPr>
            <w:tcW w:w="566" w:type="dxa"/>
            <w:shd w:val="clear" w:color="auto" w:fill="auto"/>
          </w:tcPr>
          <w:p>
            <w:pPr>
              <w:rPr>
                <w:rFonts w:ascii="Arial" w:hAnsi="Arial" w:cs="Arial"/>
                <w:b/>
                <w:sz w:val="24"/>
                <w:szCs w:val="24"/>
                <w:lang w:val="en-US"/>
              </w:rPr>
            </w:pPr>
            <w:r>
              <w:rPr>
                <w:rFonts w:ascii="Arial" w:hAnsi="Arial" w:cs="Arial"/>
                <w:b/>
                <w:sz w:val="24"/>
                <w:szCs w:val="24"/>
                <w:lang w:val="en-US"/>
              </w:rPr>
              <w:t>A.</w:t>
            </w:r>
          </w:p>
        </w:tc>
        <w:tc>
          <w:tcPr>
            <w:tcW w:w="3686" w:type="dxa"/>
            <w:gridSpan w:val="5"/>
            <w:shd w:val="clear" w:color="auto" w:fill="auto"/>
          </w:tcPr>
          <w:p>
            <w:pPr>
              <w:rPr>
                <w:rFonts w:ascii="Arial" w:hAnsi="Arial" w:cs="Arial"/>
                <w:b/>
                <w:sz w:val="24"/>
                <w:szCs w:val="24"/>
                <w:lang w:val="en-US"/>
              </w:rPr>
            </w:pPr>
            <w:r>
              <w:rPr>
                <w:rFonts w:ascii="Arial" w:hAnsi="Arial" w:cs="Arial"/>
                <w:color w:val="000000" w:themeColor="text1"/>
                <w:sz w:val="24"/>
                <w:szCs w:val="24"/>
              </w:rPr>
              <w:t>Improve literacy and numeracy skills of students who are disadvantaged especially for those who have fallen behind the most due to the pandemic.</w:t>
            </w:r>
          </w:p>
        </w:tc>
        <w:tc>
          <w:tcPr>
            <w:tcW w:w="10633" w:type="dxa"/>
            <w:gridSpan w:val="12"/>
            <w:tcBorders>
              <w:top w:val="single" w:sz="4" w:space="0" w:color="000000"/>
              <w:left w:val="single" w:sz="4" w:space="0" w:color="000000"/>
              <w:bottom w:val="single" w:sz="4" w:space="0" w:color="000000"/>
              <w:right w:val="single" w:sz="4" w:space="0" w:color="000000"/>
            </w:tcBorders>
            <w:shd w:val="clear" w:color="auto" w:fill="auto"/>
          </w:tcPr>
          <w:p>
            <w:pPr>
              <w:pStyle w:val="ListParagraph"/>
              <w:numPr>
                <w:ilvl w:val="0"/>
                <w:numId w:val="2"/>
              </w:numPr>
              <w:rPr>
                <w:rFonts w:cs="Arial"/>
                <w:lang w:val="en-US"/>
              </w:rPr>
            </w:pPr>
            <w:r>
              <w:rPr>
                <w:rFonts w:cs="Arial"/>
                <w:lang w:val="en-US"/>
              </w:rPr>
              <w:t>Reading age – Reduce the average reading age gap between pp and non pp to less than 4 months.</w:t>
            </w:r>
          </w:p>
          <w:p>
            <w:pPr>
              <w:pStyle w:val="ListParagraph"/>
              <w:numPr>
                <w:ilvl w:val="0"/>
                <w:numId w:val="2"/>
              </w:numPr>
              <w:rPr>
                <w:rFonts w:cs="Arial"/>
                <w:lang w:val="en-US"/>
              </w:rPr>
            </w:pPr>
            <w:r>
              <w:rPr>
                <w:rFonts w:cs="Arial"/>
                <w:lang w:val="en-US"/>
              </w:rPr>
              <w:t>Progress tests analysis - (English and maths) Ensure the percentage of PP students have a Standard age score (SAS) in line with their age ensuring whole school averages are in line with National Average.</w:t>
            </w:r>
          </w:p>
          <w:p>
            <w:pPr>
              <w:pStyle w:val="ListParagraph"/>
              <w:numPr>
                <w:ilvl w:val="0"/>
                <w:numId w:val="2"/>
              </w:numPr>
              <w:rPr>
                <w:rFonts w:cs="Arial"/>
                <w:lang w:val="en-US"/>
              </w:rPr>
            </w:pPr>
            <w:r>
              <w:rPr>
                <w:rFonts w:cs="Arial"/>
                <w:lang w:val="en-US"/>
              </w:rPr>
              <w:t>Books show if students know more and remember more – High expectations evident for PP students compared to non-pp (Subject deep dives/SLT book review/Faculty book reviews)</w:t>
            </w:r>
          </w:p>
          <w:p>
            <w:pPr>
              <w:pStyle w:val="TableRowCentered"/>
              <w:numPr>
                <w:ilvl w:val="0"/>
                <w:numId w:val="2"/>
              </w:numPr>
              <w:jc w:val="left"/>
              <w:rPr>
                <w:szCs w:val="24"/>
              </w:rPr>
            </w:pPr>
            <w:r>
              <w:rPr>
                <w:rFonts w:cs="Arial"/>
                <w:szCs w:val="24"/>
                <w:lang w:val="en-US"/>
              </w:rPr>
              <w:t>Targeted intervention in inclusion faculty shows accelerated rates of progress in reading age and numeracy age (An increase of more than one year over the course of an academic year for individual students)</w:t>
            </w:r>
          </w:p>
        </w:tc>
      </w:tr>
      <w:tr>
        <w:trPr>
          <w:trHeight w:val="58"/>
        </w:trPr>
        <w:tc>
          <w:tcPr>
            <w:tcW w:w="566" w:type="dxa"/>
            <w:shd w:val="clear" w:color="auto" w:fill="auto"/>
          </w:tcPr>
          <w:p>
            <w:pPr>
              <w:rPr>
                <w:rFonts w:ascii="Arial" w:hAnsi="Arial" w:cs="Arial"/>
                <w:b/>
                <w:sz w:val="24"/>
                <w:szCs w:val="24"/>
                <w:lang w:val="en-US"/>
              </w:rPr>
            </w:pPr>
            <w:r>
              <w:rPr>
                <w:rFonts w:ascii="Arial" w:hAnsi="Arial" w:cs="Arial"/>
                <w:b/>
                <w:sz w:val="24"/>
                <w:szCs w:val="24"/>
                <w:lang w:val="en-US"/>
              </w:rPr>
              <w:t>B.</w:t>
            </w:r>
          </w:p>
        </w:tc>
        <w:tc>
          <w:tcPr>
            <w:tcW w:w="3686" w:type="dxa"/>
            <w:gridSpan w:val="5"/>
            <w:shd w:val="clear" w:color="auto" w:fill="auto"/>
          </w:tcPr>
          <w:p>
            <w:pPr>
              <w:rPr>
                <w:rFonts w:ascii="Arial" w:hAnsi="Arial" w:cs="Arial"/>
                <w:sz w:val="24"/>
                <w:szCs w:val="24"/>
                <w:lang w:val="en-US"/>
              </w:rPr>
            </w:pPr>
            <w:r>
              <w:rPr>
                <w:rFonts w:ascii="Arial" w:hAnsi="Arial" w:cs="Arial"/>
                <w:sz w:val="24"/>
                <w:szCs w:val="24"/>
              </w:rPr>
              <w:t>Improve outcomes of disadvantaged students to close the disadvantaged gap especially those who are high and middle ability and boys and girls through quality first teaching.</w:t>
            </w:r>
          </w:p>
        </w:tc>
        <w:tc>
          <w:tcPr>
            <w:tcW w:w="10633" w:type="dxa"/>
            <w:gridSpan w:val="12"/>
            <w:tcBorders>
              <w:top w:val="single" w:sz="4" w:space="0" w:color="000000"/>
              <w:left w:val="single" w:sz="4" w:space="0" w:color="000000"/>
              <w:bottom w:val="single" w:sz="4" w:space="0" w:color="000000"/>
              <w:right w:val="single" w:sz="4" w:space="0" w:color="000000"/>
            </w:tcBorders>
            <w:shd w:val="clear" w:color="auto" w:fill="auto"/>
          </w:tcPr>
          <w:p>
            <w:pPr>
              <w:pStyle w:val="TableRowCentered"/>
              <w:numPr>
                <w:ilvl w:val="0"/>
                <w:numId w:val="3"/>
              </w:numPr>
              <w:jc w:val="left"/>
              <w:rPr>
                <w:szCs w:val="24"/>
              </w:rPr>
            </w:pPr>
            <w:r>
              <w:rPr>
                <w:szCs w:val="24"/>
              </w:rPr>
              <w:t xml:space="preserve">GCSE Outcomes- A8 gap between pp and national other students to show reduction. </w:t>
            </w:r>
          </w:p>
          <w:p>
            <w:pPr>
              <w:pStyle w:val="TableRowCentered"/>
              <w:numPr>
                <w:ilvl w:val="0"/>
                <w:numId w:val="3"/>
              </w:numPr>
              <w:jc w:val="left"/>
              <w:rPr>
                <w:szCs w:val="24"/>
              </w:rPr>
            </w:pPr>
            <w:r>
              <w:rPr>
                <w:szCs w:val="24"/>
              </w:rPr>
              <w:t>A8 of disadvantaged students to be at least 40 by 2022</w:t>
            </w:r>
          </w:p>
          <w:p>
            <w:pPr>
              <w:pStyle w:val="TableRowCentered"/>
              <w:numPr>
                <w:ilvl w:val="0"/>
                <w:numId w:val="3"/>
              </w:numPr>
              <w:jc w:val="left"/>
              <w:rPr>
                <w:szCs w:val="24"/>
              </w:rPr>
            </w:pPr>
            <w:r>
              <w:rPr>
                <w:szCs w:val="24"/>
              </w:rPr>
              <w:t>Reduce gap between high ability disadvantaged students and high ability other students nationally. A8 of high ability disadvantaged to be at least 50, middle at least 36.</w:t>
            </w:r>
          </w:p>
          <w:p>
            <w:pPr>
              <w:pStyle w:val="TableRowCentered"/>
              <w:numPr>
                <w:ilvl w:val="0"/>
                <w:numId w:val="3"/>
              </w:numPr>
              <w:jc w:val="left"/>
              <w:rPr>
                <w:szCs w:val="24"/>
              </w:rPr>
            </w:pPr>
            <w:r>
              <w:rPr>
                <w:szCs w:val="24"/>
              </w:rPr>
              <w:t>Book Reviews – High Expectations of learning in line with non-pp at all ability levels</w:t>
            </w:r>
          </w:p>
          <w:p>
            <w:pPr>
              <w:pStyle w:val="TableRowCentered"/>
              <w:numPr>
                <w:ilvl w:val="0"/>
                <w:numId w:val="3"/>
              </w:numPr>
              <w:jc w:val="left"/>
              <w:rPr>
                <w:szCs w:val="24"/>
              </w:rPr>
            </w:pPr>
            <w:r>
              <w:rPr>
                <w:szCs w:val="24"/>
              </w:rPr>
              <w:t>Results review meetings -Heads of department held to account for PP students.</w:t>
            </w:r>
          </w:p>
        </w:tc>
      </w:tr>
      <w:tr>
        <w:trPr>
          <w:trHeight w:val="58"/>
        </w:trPr>
        <w:tc>
          <w:tcPr>
            <w:tcW w:w="566" w:type="dxa"/>
            <w:shd w:val="clear" w:color="auto" w:fill="auto"/>
          </w:tcPr>
          <w:p>
            <w:pPr>
              <w:rPr>
                <w:rFonts w:ascii="Arial" w:hAnsi="Arial" w:cs="Arial"/>
                <w:b/>
                <w:sz w:val="24"/>
                <w:szCs w:val="24"/>
                <w:lang w:val="en-US"/>
              </w:rPr>
            </w:pPr>
            <w:r>
              <w:rPr>
                <w:rFonts w:ascii="Arial" w:hAnsi="Arial" w:cs="Arial"/>
                <w:b/>
                <w:sz w:val="24"/>
                <w:szCs w:val="24"/>
                <w:lang w:val="en-US"/>
              </w:rPr>
              <w:lastRenderedPageBreak/>
              <w:t>C.</w:t>
            </w:r>
          </w:p>
        </w:tc>
        <w:tc>
          <w:tcPr>
            <w:tcW w:w="3686" w:type="dxa"/>
            <w:gridSpan w:val="5"/>
            <w:shd w:val="clear" w:color="auto" w:fill="auto"/>
          </w:tcPr>
          <w:p>
            <w:pPr>
              <w:rPr>
                <w:rFonts w:ascii="Arial" w:hAnsi="Arial" w:cs="Arial"/>
                <w:sz w:val="24"/>
                <w:szCs w:val="24"/>
                <w:lang w:val="en-US"/>
              </w:rPr>
            </w:pPr>
            <w:r>
              <w:rPr>
                <w:rFonts w:ascii="Arial" w:hAnsi="Arial" w:cs="Arial"/>
                <w:sz w:val="24"/>
                <w:szCs w:val="24"/>
                <w:lang w:val="en-US"/>
              </w:rPr>
              <w:t>Improve provision for those students who are LAC, EAL and SEND ensuring they are supported during lessons and through the inclusion faculty.</w:t>
            </w:r>
          </w:p>
        </w:tc>
        <w:tc>
          <w:tcPr>
            <w:tcW w:w="10633" w:type="dxa"/>
            <w:gridSpan w:val="12"/>
            <w:tcBorders>
              <w:top w:val="single" w:sz="4" w:space="0" w:color="000000"/>
              <w:left w:val="single" w:sz="4" w:space="0" w:color="000000"/>
              <w:bottom w:val="single" w:sz="4" w:space="0" w:color="000000"/>
              <w:right w:val="single" w:sz="4" w:space="0" w:color="000000"/>
            </w:tcBorders>
            <w:shd w:val="clear" w:color="auto" w:fill="auto"/>
          </w:tcPr>
          <w:p>
            <w:pPr>
              <w:pStyle w:val="TableRowCentered"/>
              <w:numPr>
                <w:ilvl w:val="0"/>
                <w:numId w:val="4"/>
              </w:numPr>
              <w:jc w:val="left"/>
              <w:rPr>
                <w:szCs w:val="24"/>
              </w:rPr>
            </w:pPr>
            <w:r>
              <w:rPr>
                <w:szCs w:val="24"/>
              </w:rPr>
              <w:t>CLA to meet their minimum targets- monitor students individual and not as a single group.</w:t>
            </w:r>
          </w:p>
          <w:p>
            <w:pPr>
              <w:pStyle w:val="TableRowCentered"/>
              <w:numPr>
                <w:ilvl w:val="0"/>
                <w:numId w:val="4"/>
              </w:numPr>
              <w:jc w:val="left"/>
              <w:rPr>
                <w:szCs w:val="24"/>
              </w:rPr>
            </w:pPr>
            <w:r>
              <w:rPr>
                <w:szCs w:val="24"/>
              </w:rPr>
              <w:t>CLA meeting minutes</w:t>
            </w:r>
          </w:p>
          <w:p>
            <w:pPr>
              <w:pStyle w:val="TableRowCentered"/>
              <w:numPr>
                <w:ilvl w:val="0"/>
                <w:numId w:val="4"/>
              </w:numPr>
              <w:jc w:val="left"/>
              <w:rPr>
                <w:szCs w:val="24"/>
              </w:rPr>
            </w:pPr>
            <w:r>
              <w:rPr>
                <w:szCs w:val="24"/>
              </w:rPr>
              <w:t>SEND students to make progress at least in line with other students.</w:t>
            </w:r>
          </w:p>
        </w:tc>
      </w:tr>
      <w:tr>
        <w:trPr>
          <w:trHeight w:val="58"/>
        </w:trPr>
        <w:tc>
          <w:tcPr>
            <w:tcW w:w="566" w:type="dxa"/>
            <w:shd w:val="clear" w:color="auto" w:fill="auto"/>
          </w:tcPr>
          <w:p>
            <w:pPr>
              <w:rPr>
                <w:rFonts w:ascii="Arial" w:hAnsi="Arial" w:cs="Arial"/>
                <w:b/>
                <w:sz w:val="24"/>
                <w:szCs w:val="24"/>
                <w:lang w:val="en-US"/>
              </w:rPr>
            </w:pPr>
            <w:r>
              <w:rPr>
                <w:rFonts w:ascii="Arial" w:hAnsi="Arial" w:cs="Arial"/>
                <w:b/>
                <w:sz w:val="24"/>
                <w:szCs w:val="24"/>
                <w:lang w:val="en-US"/>
              </w:rPr>
              <w:t>D.</w:t>
            </w:r>
          </w:p>
        </w:tc>
        <w:tc>
          <w:tcPr>
            <w:tcW w:w="3686" w:type="dxa"/>
            <w:gridSpan w:val="5"/>
            <w:shd w:val="clear" w:color="auto" w:fill="auto"/>
          </w:tcPr>
          <w:p>
            <w:pPr>
              <w:rPr>
                <w:rFonts w:ascii="Arial" w:hAnsi="Arial" w:cs="Arial"/>
                <w:sz w:val="24"/>
                <w:szCs w:val="24"/>
                <w:lang w:val="en-US"/>
              </w:rPr>
            </w:pPr>
            <w:r>
              <w:rPr>
                <w:rFonts w:ascii="Arial" w:hAnsi="Arial" w:cs="Arial"/>
                <w:sz w:val="24"/>
                <w:szCs w:val="24"/>
                <w:lang w:val="en-US"/>
              </w:rPr>
              <w:t>Raise attendance of disadvantaged students including those who are LAC, EAL and SEND</w:t>
            </w:r>
          </w:p>
        </w:tc>
        <w:tc>
          <w:tcPr>
            <w:tcW w:w="10633" w:type="dxa"/>
            <w:gridSpan w:val="12"/>
            <w:tcBorders>
              <w:top w:val="single" w:sz="4" w:space="0" w:color="000000"/>
              <w:left w:val="single" w:sz="4" w:space="0" w:color="000000"/>
              <w:bottom w:val="single" w:sz="4" w:space="0" w:color="000000"/>
              <w:right w:val="single" w:sz="4" w:space="0" w:color="000000"/>
            </w:tcBorders>
            <w:shd w:val="clear" w:color="auto" w:fill="auto"/>
          </w:tcPr>
          <w:p>
            <w:pPr>
              <w:pStyle w:val="TableRowCentered"/>
              <w:numPr>
                <w:ilvl w:val="0"/>
                <w:numId w:val="5"/>
              </w:numPr>
              <w:jc w:val="left"/>
              <w:rPr>
                <w:szCs w:val="24"/>
              </w:rPr>
            </w:pPr>
            <w:r>
              <w:rPr>
                <w:szCs w:val="24"/>
              </w:rPr>
              <w:t>Reduce the percentage attendance between pp and non-pp to less than 3%</w:t>
            </w:r>
          </w:p>
          <w:p>
            <w:pPr>
              <w:pStyle w:val="TableRowCentered"/>
              <w:numPr>
                <w:ilvl w:val="0"/>
                <w:numId w:val="5"/>
              </w:numPr>
              <w:jc w:val="left"/>
              <w:rPr>
                <w:szCs w:val="24"/>
              </w:rPr>
            </w:pPr>
            <w:r>
              <w:rPr>
                <w:szCs w:val="24"/>
              </w:rPr>
              <w:t>Reduce the percentage attendance between send and other students to less than 3%</w:t>
            </w:r>
          </w:p>
          <w:p>
            <w:pPr>
              <w:pStyle w:val="TableRowCentered"/>
              <w:numPr>
                <w:ilvl w:val="0"/>
                <w:numId w:val="5"/>
              </w:numPr>
              <w:jc w:val="left"/>
              <w:rPr>
                <w:szCs w:val="24"/>
              </w:rPr>
            </w:pPr>
            <w:r>
              <w:rPr>
                <w:szCs w:val="24"/>
              </w:rPr>
              <w:t>Continue to monitor percentage attendance of EAL. At present this is higher than other students. Monitor students individually.</w:t>
            </w:r>
          </w:p>
        </w:tc>
      </w:tr>
      <w:tr>
        <w:trPr>
          <w:trHeight w:val="58"/>
        </w:trPr>
        <w:tc>
          <w:tcPr>
            <w:tcW w:w="566" w:type="dxa"/>
            <w:shd w:val="clear" w:color="auto" w:fill="auto"/>
          </w:tcPr>
          <w:p>
            <w:pPr>
              <w:rPr>
                <w:rFonts w:ascii="Arial" w:hAnsi="Arial" w:cs="Arial"/>
                <w:b/>
                <w:sz w:val="24"/>
                <w:szCs w:val="24"/>
                <w:lang w:val="en-US"/>
              </w:rPr>
            </w:pPr>
            <w:r>
              <w:rPr>
                <w:rFonts w:ascii="Arial" w:hAnsi="Arial" w:cs="Arial"/>
                <w:b/>
                <w:sz w:val="24"/>
                <w:szCs w:val="24"/>
                <w:lang w:val="en-US"/>
              </w:rPr>
              <w:t>E.</w:t>
            </w:r>
          </w:p>
        </w:tc>
        <w:tc>
          <w:tcPr>
            <w:tcW w:w="3686" w:type="dxa"/>
            <w:gridSpan w:val="5"/>
            <w:shd w:val="clear" w:color="auto" w:fill="auto"/>
          </w:tcPr>
          <w:p>
            <w:pPr>
              <w:rPr>
                <w:rFonts w:ascii="Arial" w:hAnsi="Arial" w:cs="Arial"/>
                <w:sz w:val="24"/>
                <w:szCs w:val="24"/>
                <w:lang w:val="en-US"/>
              </w:rPr>
            </w:pPr>
            <w:r>
              <w:rPr>
                <w:rFonts w:ascii="Arial" w:hAnsi="Arial" w:cs="Arial"/>
                <w:sz w:val="24"/>
                <w:szCs w:val="24"/>
                <w:lang w:val="en-US"/>
              </w:rPr>
              <w:t xml:space="preserve">Raise aspirations of disadvantaged students, LAC and parents to promote engagement, eagerness to learn and increase opportunities to develop student “cultural capital” with creative experiences relevant to their development stage, community, and social expectations.  </w:t>
            </w:r>
          </w:p>
        </w:tc>
        <w:tc>
          <w:tcPr>
            <w:tcW w:w="10633" w:type="dxa"/>
            <w:gridSpan w:val="12"/>
            <w:tcBorders>
              <w:top w:val="single" w:sz="4" w:space="0" w:color="000000"/>
              <w:left w:val="single" w:sz="4" w:space="0" w:color="000000"/>
              <w:bottom w:val="single" w:sz="4" w:space="0" w:color="000000"/>
              <w:right w:val="single" w:sz="4" w:space="0" w:color="000000"/>
            </w:tcBorders>
            <w:shd w:val="clear" w:color="auto" w:fill="auto"/>
          </w:tcPr>
          <w:p>
            <w:pPr>
              <w:pStyle w:val="TableRowCentered"/>
              <w:numPr>
                <w:ilvl w:val="0"/>
                <w:numId w:val="6"/>
              </w:numPr>
              <w:jc w:val="left"/>
              <w:rPr>
                <w:szCs w:val="24"/>
              </w:rPr>
            </w:pPr>
            <w:r>
              <w:rPr>
                <w:szCs w:val="24"/>
              </w:rPr>
              <w:t>Destination figures – Target 100% of students in education and employment</w:t>
            </w:r>
          </w:p>
          <w:p>
            <w:pPr>
              <w:pStyle w:val="TableRowCentered"/>
              <w:numPr>
                <w:ilvl w:val="0"/>
                <w:numId w:val="6"/>
              </w:numPr>
              <w:jc w:val="left"/>
              <w:rPr>
                <w:szCs w:val="24"/>
              </w:rPr>
            </w:pPr>
            <w:r>
              <w:rPr>
                <w:szCs w:val="24"/>
              </w:rPr>
              <w:t>Percentage of disadvantages students studying Ebacc to increase to at least double for students currently in Y9.</w:t>
            </w:r>
          </w:p>
          <w:p>
            <w:pPr>
              <w:pStyle w:val="TableRowCentered"/>
              <w:numPr>
                <w:ilvl w:val="0"/>
                <w:numId w:val="6"/>
              </w:numPr>
              <w:jc w:val="left"/>
              <w:rPr>
                <w:szCs w:val="24"/>
              </w:rPr>
            </w:pPr>
            <w:r>
              <w:rPr>
                <w:szCs w:val="24"/>
              </w:rPr>
              <w:t>Improvements evident in student voice</w:t>
            </w:r>
          </w:p>
          <w:p>
            <w:pPr>
              <w:pStyle w:val="TableRowCentered"/>
              <w:numPr>
                <w:ilvl w:val="0"/>
                <w:numId w:val="6"/>
              </w:numPr>
              <w:jc w:val="left"/>
              <w:rPr>
                <w:szCs w:val="24"/>
              </w:rPr>
            </w:pPr>
            <w:r>
              <w:rPr>
                <w:szCs w:val="24"/>
              </w:rPr>
              <w:t>Compass – Shows impact in terms of meeting Gatsby Benchmarks.</w:t>
            </w:r>
          </w:p>
          <w:p>
            <w:pPr>
              <w:pStyle w:val="TableRowCentered"/>
              <w:numPr>
                <w:ilvl w:val="0"/>
                <w:numId w:val="6"/>
              </w:numPr>
              <w:jc w:val="left"/>
              <w:rPr>
                <w:szCs w:val="24"/>
              </w:rPr>
            </w:pPr>
            <w:r>
              <w:rPr>
                <w:szCs w:val="24"/>
              </w:rPr>
              <w:t>PP students raise the percentage of positive behaviour points to at least 97% o it is in line with non-PP</w:t>
            </w:r>
          </w:p>
          <w:p>
            <w:pPr>
              <w:pStyle w:val="TableRowCentered"/>
              <w:numPr>
                <w:ilvl w:val="0"/>
                <w:numId w:val="6"/>
              </w:numPr>
              <w:jc w:val="left"/>
              <w:rPr>
                <w:szCs w:val="24"/>
              </w:rPr>
            </w:pPr>
            <w:r>
              <w:rPr>
                <w:szCs w:val="24"/>
              </w:rPr>
              <w:t>Personal Development Curriculum embedded and students able to explain their experiences of collective worship, RSE and British values.</w:t>
            </w:r>
          </w:p>
          <w:p>
            <w:pPr>
              <w:pStyle w:val="TableRowCentered"/>
              <w:numPr>
                <w:ilvl w:val="0"/>
                <w:numId w:val="6"/>
              </w:numPr>
              <w:jc w:val="left"/>
              <w:rPr>
                <w:szCs w:val="24"/>
              </w:rPr>
            </w:pPr>
            <w:r>
              <w:rPr>
                <w:szCs w:val="24"/>
              </w:rPr>
              <w:t>Attendance of disadvantaged students to extra-curricular activities increases each term during 2021-2022.</w:t>
            </w:r>
          </w:p>
          <w:p>
            <w:pPr>
              <w:pStyle w:val="TableRowCentered"/>
              <w:jc w:val="left"/>
              <w:rPr>
                <w:szCs w:val="24"/>
              </w:rPr>
            </w:pPr>
          </w:p>
        </w:tc>
      </w:tr>
      <w:tr>
        <w:trPr>
          <w:trHeight w:val="58"/>
        </w:trPr>
        <w:tc>
          <w:tcPr>
            <w:tcW w:w="14885" w:type="dxa"/>
            <w:gridSpan w:val="18"/>
            <w:tcBorders>
              <w:right w:val="single" w:sz="4" w:space="0" w:color="000000"/>
            </w:tcBorders>
            <w:shd w:val="clear" w:color="auto" w:fill="BDD6EE" w:themeFill="accent1" w:themeFillTint="66"/>
          </w:tcPr>
          <w:p>
            <w:pPr>
              <w:pStyle w:val="TableRowCentered"/>
              <w:ind w:left="0"/>
              <w:jc w:val="left"/>
              <w:rPr>
                <w:b/>
                <w:szCs w:val="24"/>
              </w:rPr>
            </w:pPr>
            <w:r>
              <w:rPr>
                <w:b/>
                <w:szCs w:val="24"/>
              </w:rPr>
              <w:t>5. Planned expenditure</w:t>
            </w:r>
          </w:p>
        </w:tc>
      </w:tr>
      <w:tr>
        <w:trPr>
          <w:trHeight w:val="58"/>
        </w:trPr>
        <w:tc>
          <w:tcPr>
            <w:tcW w:w="2267" w:type="dxa"/>
            <w:gridSpan w:val="3"/>
            <w:tcBorders>
              <w:right w:val="single" w:sz="4" w:space="0" w:color="000000"/>
            </w:tcBorders>
            <w:shd w:val="clear" w:color="auto" w:fill="auto"/>
          </w:tcPr>
          <w:p>
            <w:pPr>
              <w:pStyle w:val="TableRowCentered"/>
              <w:ind w:left="0"/>
              <w:jc w:val="left"/>
              <w:rPr>
                <w:b/>
                <w:szCs w:val="24"/>
              </w:rPr>
            </w:pPr>
            <w:r>
              <w:rPr>
                <w:b/>
                <w:szCs w:val="24"/>
              </w:rPr>
              <w:t>Academic year</w:t>
            </w:r>
          </w:p>
        </w:tc>
        <w:tc>
          <w:tcPr>
            <w:tcW w:w="12618" w:type="dxa"/>
            <w:gridSpan w:val="15"/>
            <w:tcBorders>
              <w:right w:val="single" w:sz="4" w:space="0" w:color="000000"/>
            </w:tcBorders>
            <w:shd w:val="clear" w:color="auto" w:fill="auto"/>
          </w:tcPr>
          <w:p>
            <w:pPr>
              <w:pStyle w:val="TableRowCentered"/>
              <w:ind w:left="0"/>
              <w:jc w:val="left"/>
              <w:rPr>
                <w:b/>
                <w:szCs w:val="24"/>
              </w:rPr>
            </w:pPr>
            <w:r>
              <w:rPr>
                <w:b/>
                <w:szCs w:val="24"/>
              </w:rPr>
              <w:t>2021-2022</w:t>
            </w:r>
          </w:p>
        </w:tc>
      </w:tr>
      <w:tr>
        <w:trPr>
          <w:trHeight w:val="58"/>
        </w:trPr>
        <w:tc>
          <w:tcPr>
            <w:tcW w:w="14885" w:type="dxa"/>
            <w:gridSpan w:val="18"/>
            <w:tcBorders>
              <w:right w:val="single" w:sz="4" w:space="0" w:color="000000"/>
            </w:tcBorders>
            <w:shd w:val="clear" w:color="auto" w:fill="auto"/>
          </w:tcPr>
          <w:p>
            <w:pPr>
              <w:pStyle w:val="TableRowCentered"/>
              <w:ind w:left="0"/>
              <w:jc w:val="left"/>
              <w:rPr>
                <w:b/>
                <w:szCs w:val="24"/>
              </w:rPr>
            </w:pPr>
            <w:r>
              <w:rPr>
                <w:b/>
                <w:szCs w:val="24"/>
              </w:rPr>
              <w:t>i.  Quality of teaching for all</w:t>
            </w:r>
          </w:p>
        </w:tc>
      </w:tr>
      <w:tr>
        <w:trPr>
          <w:trHeight w:val="58"/>
        </w:trPr>
        <w:tc>
          <w:tcPr>
            <w:tcW w:w="1986" w:type="dxa"/>
            <w:gridSpan w:val="2"/>
          </w:tcPr>
          <w:p>
            <w:pPr>
              <w:pStyle w:val="TableParagraph"/>
              <w:spacing w:before="55"/>
              <w:ind w:left="102"/>
              <w:rPr>
                <w:b/>
                <w:sz w:val="24"/>
              </w:rPr>
            </w:pPr>
            <w:r>
              <w:rPr>
                <w:b/>
                <w:color w:val="0D0D0D"/>
                <w:sz w:val="24"/>
              </w:rPr>
              <w:t>Action</w:t>
            </w:r>
          </w:p>
        </w:tc>
        <w:tc>
          <w:tcPr>
            <w:tcW w:w="3685" w:type="dxa"/>
            <w:gridSpan w:val="6"/>
          </w:tcPr>
          <w:p>
            <w:pPr>
              <w:pStyle w:val="TableParagraph"/>
              <w:spacing w:before="55"/>
              <w:ind w:left="170"/>
              <w:rPr>
                <w:b/>
                <w:color w:val="0D0D0D"/>
                <w:sz w:val="24"/>
              </w:rPr>
            </w:pPr>
            <w:r>
              <w:rPr>
                <w:b/>
                <w:color w:val="0D0D0D"/>
                <w:sz w:val="24"/>
              </w:rPr>
              <w:t>Intended outcome</w:t>
            </w:r>
          </w:p>
          <w:p>
            <w:pPr>
              <w:pStyle w:val="TableParagraph"/>
              <w:spacing w:before="55"/>
              <w:ind w:left="170"/>
              <w:rPr>
                <w:b/>
                <w:sz w:val="24"/>
              </w:rPr>
            </w:pPr>
            <w:r>
              <w:rPr>
                <w:b/>
                <w:color w:val="0D0D0D"/>
                <w:sz w:val="24"/>
              </w:rPr>
              <w:t xml:space="preserve">(Letters refer to overall intended outcomes in </w:t>
            </w:r>
            <w:r>
              <w:rPr>
                <w:b/>
                <w:color w:val="0D0D0D"/>
                <w:sz w:val="24"/>
              </w:rPr>
              <w:lastRenderedPageBreak/>
              <w:t>section 4)</w:t>
            </w:r>
          </w:p>
        </w:tc>
        <w:tc>
          <w:tcPr>
            <w:tcW w:w="3827" w:type="dxa"/>
            <w:gridSpan w:val="5"/>
          </w:tcPr>
          <w:p>
            <w:pPr>
              <w:pStyle w:val="TableParagraph"/>
              <w:spacing w:before="55" w:line="288" w:lineRule="auto"/>
              <w:ind w:left="103" w:right="374"/>
              <w:rPr>
                <w:b/>
                <w:sz w:val="24"/>
              </w:rPr>
            </w:pPr>
            <w:r>
              <w:rPr>
                <w:b/>
                <w:color w:val="0D0D0D"/>
                <w:sz w:val="24"/>
              </w:rPr>
              <w:lastRenderedPageBreak/>
              <w:t>What is the evidence and rationale for this choice?</w:t>
            </w:r>
          </w:p>
        </w:tc>
        <w:tc>
          <w:tcPr>
            <w:tcW w:w="2127" w:type="dxa"/>
          </w:tcPr>
          <w:p>
            <w:pPr>
              <w:pStyle w:val="TableParagraph"/>
              <w:spacing w:before="55" w:line="288" w:lineRule="auto"/>
              <w:ind w:left="102" w:right="199"/>
              <w:rPr>
                <w:b/>
                <w:sz w:val="24"/>
              </w:rPr>
            </w:pPr>
            <w:r>
              <w:rPr>
                <w:b/>
                <w:color w:val="0D0D0D"/>
                <w:sz w:val="24"/>
              </w:rPr>
              <w:t xml:space="preserve">How will you ensure it is </w:t>
            </w:r>
            <w:r>
              <w:rPr>
                <w:b/>
                <w:color w:val="0D0D0D"/>
                <w:sz w:val="24"/>
              </w:rPr>
              <w:lastRenderedPageBreak/>
              <w:t>implemented well?</w:t>
            </w:r>
          </w:p>
        </w:tc>
        <w:tc>
          <w:tcPr>
            <w:tcW w:w="1699" w:type="dxa"/>
            <w:gridSpan w:val="2"/>
          </w:tcPr>
          <w:p>
            <w:pPr>
              <w:pStyle w:val="TableParagraph"/>
              <w:spacing w:before="55"/>
              <w:ind w:left="102"/>
              <w:rPr>
                <w:b/>
                <w:sz w:val="24"/>
              </w:rPr>
            </w:pPr>
            <w:r>
              <w:rPr>
                <w:b/>
                <w:color w:val="0D0D0D"/>
                <w:sz w:val="24"/>
              </w:rPr>
              <w:lastRenderedPageBreak/>
              <w:t>Staff lead</w:t>
            </w:r>
          </w:p>
        </w:tc>
        <w:tc>
          <w:tcPr>
            <w:tcW w:w="1561" w:type="dxa"/>
            <w:gridSpan w:val="2"/>
          </w:tcPr>
          <w:p>
            <w:pPr>
              <w:pStyle w:val="TableParagraph"/>
              <w:spacing w:before="55" w:line="288" w:lineRule="auto"/>
              <w:ind w:left="102"/>
              <w:rPr>
                <w:b/>
                <w:sz w:val="24"/>
              </w:rPr>
            </w:pPr>
            <w:r>
              <w:rPr>
                <w:b/>
                <w:color w:val="0D0D0D"/>
                <w:sz w:val="24"/>
              </w:rPr>
              <w:t xml:space="preserve">When will you review </w:t>
            </w:r>
            <w:r>
              <w:rPr>
                <w:b/>
                <w:color w:val="0D0D0D"/>
                <w:sz w:val="24"/>
              </w:rPr>
              <w:lastRenderedPageBreak/>
              <w:t>implementation?</w:t>
            </w:r>
          </w:p>
        </w:tc>
      </w:tr>
      <w:tr>
        <w:trPr>
          <w:trHeight w:val="58"/>
        </w:trPr>
        <w:tc>
          <w:tcPr>
            <w:tcW w:w="1986" w:type="dxa"/>
            <w:gridSpan w:val="2"/>
            <w:tcBorders>
              <w:right w:val="single" w:sz="4" w:space="0" w:color="000000"/>
            </w:tcBorders>
            <w:shd w:val="clear" w:color="auto" w:fill="auto"/>
          </w:tcPr>
          <w:p>
            <w:pPr>
              <w:pStyle w:val="TableRowCentered"/>
              <w:ind w:left="0"/>
              <w:jc w:val="left"/>
              <w:rPr>
                <w:rFonts w:cs="Arial"/>
                <w:sz w:val="20"/>
              </w:rPr>
            </w:pPr>
            <w:r>
              <w:rPr>
                <w:rFonts w:cs="Arial"/>
                <w:sz w:val="20"/>
              </w:rPr>
              <w:lastRenderedPageBreak/>
              <w:t>Assess reading ages of all students. Use these to inform planning for teacher. (March 2021/October 21)</w:t>
            </w:r>
          </w:p>
          <w:p>
            <w:pPr>
              <w:pStyle w:val="TableRowCentered"/>
              <w:jc w:val="left"/>
              <w:rPr>
                <w:rFonts w:cs="Arial"/>
                <w:sz w:val="20"/>
              </w:rPr>
            </w:pPr>
          </w:p>
          <w:p>
            <w:pPr>
              <w:pStyle w:val="TableRowCentered"/>
              <w:jc w:val="left"/>
              <w:rPr>
                <w:rFonts w:cs="Arial"/>
                <w:sz w:val="20"/>
              </w:rPr>
            </w:pPr>
            <w:r>
              <w:rPr>
                <w:rFonts w:cs="Arial"/>
                <w:sz w:val="20"/>
              </w:rPr>
              <w:t>Use reading age analysis to identify students who are in need of intervention to catch up (October 21)</w:t>
            </w:r>
          </w:p>
          <w:p>
            <w:pPr>
              <w:pStyle w:val="TableRowCentered"/>
              <w:jc w:val="left"/>
              <w:rPr>
                <w:rFonts w:cs="Arial"/>
                <w:sz w:val="20"/>
              </w:rPr>
            </w:pPr>
          </w:p>
          <w:p>
            <w:pPr>
              <w:pStyle w:val="TableRowCentered"/>
              <w:jc w:val="left"/>
              <w:rPr>
                <w:rFonts w:cs="Arial"/>
                <w:sz w:val="20"/>
              </w:rPr>
            </w:pPr>
            <w:r>
              <w:rPr>
                <w:rFonts w:cs="Arial"/>
                <w:sz w:val="20"/>
              </w:rPr>
              <w:t>Ensure transition information is effective in ensuring immediate challenge for students as soon as they enter in Y7 (July21)</w:t>
            </w:r>
          </w:p>
          <w:p>
            <w:pPr>
              <w:pStyle w:val="TableRowCentered"/>
              <w:jc w:val="left"/>
              <w:rPr>
                <w:rFonts w:cs="Arial"/>
                <w:sz w:val="20"/>
              </w:rPr>
            </w:pPr>
          </w:p>
          <w:p>
            <w:pPr>
              <w:pStyle w:val="TableRowCentered"/>
              <w:ind w:left="0"/>
              <w:jc w:val="left"/>
              <w:rPr>
                <w:rFonts w:cs="Arial"/>
                <w:sz w:val="20"/>
              </w:rPr>
            </w:pPr>
            <w:r>
              <w:rPr>
                <w:rFonts w:cs="Arial"/>
                <w:sz w:val="20"/>
              </w:rPr>
              <w:t xml:space="preserve">Progress tests for y7 and y8 to allow diagnostic information to be shared with English and maths faculties and used </w:t>
            </w:r>
            <w:r>
              <w:rPr>
                <w:rFonts w:cs="Arial"/>
                <w:sz w:val="20"/>
              </w:rPr>
              <w:lastRenderedPageBreak/>
              <w:t>in planning (Autumn term)</w:t>
            </w:r>
          </w:p>
          <w:p>
            <w:pPr>
              <w:pStyle w:val="TableRowCentered"/>
              <w:ind w:left="0"/>
              <w:jc w:val="left"/>
              <w:rPr>
                <w:rFonts w:cs="Arial"/>
                <w:sz w:val="20"/>
              </w:rPr>
            </w:pPr>
          </w:p>
        </w:tc>
        <w:tc>
          <w:tcPr>
            <w:tcW w:w="3685" w:type="dxa"/>
            <w:gridSpan w:val="6"/>
            <w:tcBorders>
              <w:right w:val="single" w:sz="4" w:space="0" w:color="000000"/>
            </w:tcBorders>
            <w:shd w:val="clear" w:color="auto" w:fill="auto"/>
          </w:tcPr>
          <w:p>
            <w:pPr>
              <w:pStyle w:val="TableRowCentered"/>
              <w:jc w:val="left"/>
              <w:rPr>
                <w:rFonts w:cs="Arial"/>
                <w:b/>
                <w:color w:val="000000" w:themeColor="text1"/>
                <w:sz w:val="20"/>
              </w:rPr>
            </w:pPr>
            <w:r>
              <w:rPr>
                <w:rFonts w:cs="Arial"/>
                <w:b/>
                <w:color w:val="000000" w:themeColor="text1"/>
                <w:sz w:val="20"/>
              </w:rPr>
              <w:lastRenderedPageBreak/>
              <w:t>A(1)</w:t>
            </w:r>
          </w:p>
          <w:p>
            <w:pPr>
              <w:pStyle w:val="TableRowCentered"/>
              <w:ind w:left="0"/>
              <w:jc w:val="left"/>
              <w:rPr>
                <w:rFonts w:cs="Arial"/>
                <w:b/>
                <w:sz w:val="20"/>
              </w:rPr>
            </w:pPr>
          </w:p>
          <w:p>
            <w:pPr>
              <w:rPr>
                <w:rFonts w:ascii="Arial" w:hAnsi="Arial" w:cs="Arial"/>
                <w:sz w:val="20"/>
                <w:szCs w:val="20"/>
                <w:lang w:eastAsia="en-GB"/>
              </w:rPr>
            </w:pPr>
            <w:r>
              <w:rPr>
                <w:rFonts w:ascii="Arial" w:hAnsi="Arial" w:cs="Arial"/>
                <w:sz w:val="20"/>
                <w:szCs w:val="20"/>
                <w:lang w:eastAsia="en-GB"/>
              </w:rPr>
              <w:t>Assessment information used effectively to meet needs of individual students.</w:t>
            </w:r>
          </w:p>
          <w:p>
            <w:pPr>
              <w:rPr>
                <w:rFonts w:ascii="Arial" w:hAnsi="Arial" w:cs="Arial"/>
                <w:sz w:val="20"/>
                <w:szCs w:val="20"/>
                <w:lang w:eastAsia="en-GB"/>
              </w:rPr>
            </w:pPr>
          </w:p>
          <w:p>
            <w:pPr>
              <w:rPr>
                <w:rFonts w:ascii="Arial" w:hAnsi="Arial" w:cs="Arial"/>
                <w:sz w:val="20"/>
                <w:szCs w:val="20"/>
                <w:lang w:eastAsia="en-GB"/>
              </w:rPr>
            </w:pPr>
          </w:p>
          <w:p>
            <w:pPr>
              <w:rPr>
                <w:rFonts w:ascii="Arial" w:hAnsi="Arial" w:cs="Arial"/>
                <w:sz w:val="20"/>
                <w:szCs w:val="20"/>
                <w:lang w:eastAsia="en-GB"/>
              </w:rPr>
            </w:pPr>
            <w:r>
              <w:rPr>
                <w:rFonts w:ascii="Arial" w:hAnsi="Arial" w:cs="Arial"/>
                <w:sz w:val="20"/>
              </w:rPr>
              <w:t>Transition Information form primary. Minimum showing the teacher assessment of students meeting the expected standard in English reading, writing and maths.</w:t>
            </w:r>
          </w:p>
        </w:tc>
        <w:tc>
          <w:tcPr>
            <w:tcW w:w="3827" w:type="dxa"/>
            <w:gridSpan w:val="5"/>
            <w:tcBorders>
              <w:right w:val="single" w:sz="4" w:space="0" w:color="000000"/>
            </w:tcBorders>
            <w:shd w:val="clear" w:color="auto" w:fill="auto"/>
          </w:tcPr>
          <w:p>
            <w:pPr>
              <w:pStyle w:val="TableRowCentered"/>
              <w:ind w:left="0"/>
              <w:jc w:val="left"/>
              <w:rPr>
                <w:rFonts w:cs="Arial"/>
                <w:b/>
                <w:sz w:val="20"/>
              </w:rPr>
            </w:pPr>
            <w:r>
              <w:rPr>
                <w:noProof/>
              </w:rPr>
              <w:drawing>
                <wp:inline distT="0" distB="0" distL="0" distR="0">
                  <wp:extent cx="1661795" cy="487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61795" cy="487680"/>
                          </a:xfrm>
                          <a:prstGeom prst="rect">
                            <a:avLst/>
                          </a:prstGeom>
                        </pic:spPr>
                      </pic:pic>
                    </a:graphicData>
                  </a:graphic>
                </wp:inline>
              </w:drawing>
            </w:r>
          </w:p>
          <w:p>
            <w:pPr>
              <w:rPr>
                <w:rFonts w:ascii="Arial" w:hAnsi="Arial" w:cs="Arial"/>
                <w:sz w:val="20"/>
                <w:szCs w:val="20"/>
                <w:lang w:eastAsia="en-GB"/>
              </w:rPr>
            </w:pPr>
          </w:p>
          <w:p>
            <w:pPr>
              <w:rPr>
                <w:rFonts w:ascii="Arial" w:hAnsi="Arial" w:cs="Arial"/>
                <w:sz w:val="20"/>
                <w:szCs w:val="20"/>
                <w:lang w:eastAsia="en-GB"/>
              </w:rPr>
            </w:pPr>
            <w:r>
              <w:rPr>
                <w:noProof/>
                <w:lang w:eastAsia="en-GB"/>
              </w:rPr>
              <w:drawing>
                <wp:inline distT="0" distB="0" distL="0" distR="0">
                  <wp:extent cx="1661795" cy="4876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61795" cy="487680"/>
                          </a:xfrm>
                          <a:prstGeom prst="rect">
                            <a:avLst/>
                          </a:prstGeom>
                        </pic:spPr>
                      </pic:pic>
                    </a:graphicData>
                  </a:graphic>
                </wp:inline>
              </w:drawing>
            </w:r>
          </w:p>
          <w:p>
            <w:pPr>
              <w:rPr>
                <w:rFonts w:ascii="Arial" w:hAnsi="Arial" w:cs="Arial"/>
                <w:sz w:val="20"/>
                <w:szCs w:val="20"/>
                <w:lang w:eastAsia="en-GB"/>
              </w:rPr>
            </w:pPr>
          </w:p>
          <w:p>
            <w:pPr>
              <w:pStyle w:val="TableRowCentered"/>
              <w:jc w:val="left"/>
              <w:rPr>
                <w:rFonts w:cs="Arial"/>
                <w:color w:val="auto"/>
                <w:sz w:val="20"/>
              </w:rPr>
            </w:pPr>
            <w:r>
              <w:rPr>
                <w:rFonts w:cs="Arial"/>
                <w:color w:val="auto"/>
                <w:sz w:val="20"/>
              </w:rPr>
              <w:t>Standardised tests can provide reliable insights into the specific strengths and weaknesses of each pupil to help ensure they receive the correct additional support through interventions or teacher instruction:</w:t>
            </w:r>
          </w:p>
          <w:p>
            <w:pPr>
              <w:rPr>
                <w:rFonts w:ascii="Arial" w:hAnsi="Arial" w:cs="Arial"/>
                <w:sz w:val="20"/>
                <w:szCs w:val="20"/>
                <w:lang w:eastAsia="en-GB"/>
              </w:rPr>
            </w:pPr>
            <w:hyperlink r:id="rId10" w:history="1">
              <w:r>
                <w:rPr>
                  <w:rFonts w:ascii="Arial" w:hAnsi="Arial" w:cs="Arial"/>
                  <w:color w:val="0070C0"/>
                  <w:sz w:val="20"/>
                  <w:szCs w:val="20"/>
                  <w:u w:val="single"/>
                </w:rPr>
                <w:t>Standardised tests | Assessing and Monitoring Pupil Progress | Education Endowment Foundation | EEF</w:t>
              </w:r>
            </w:hyperlink>
          </w:p>
        </w:tc>
        <w:tc>
          <w:tcPr>
            <w:tcW w:w="2127" w:type="dxa"/>
            <w:tcBorders>
              <w:right w:val="single" w:sz="4" w:space="0" w:color="000000"/>
            </w:tcBorders>
            <w:shd w:val="clear" w:color="auto" w:fill="auto"/>
          </w:tcPr>
          <w:p>
            <w:pPr>
              <w:pStyle w:val="TableRowCentered"/>
              <w:ind w:left="0"/>
              <w:jc w:val="left"/>
              <w:rPr>
                <w:rFonts w:cs="Arial"/>
                <w:sz w:val="20"/>
              </w:rPr>
            </w:pPr>
            <w:r>
              <w:rPr>
                <w:rFonts w:cs="Arial"/>
                <w:sz w:val="20"/>
              </w:rPr>
              <w:t>MTU to quality assure reading ages</w:t>
            </w:r>
          </w:p>
          <w:p>
            <w:pPr>
              <w:pStyle w:val="TableRowCentered"/>
              <w:ind w:left="0"/>
              <w:jc w:val="left"/>
              <w:rPr>
                <w:rFonts w:cs="Arial"/>
                <w:sz w:val="20"/>
              </w:rPr>
            </w:pPr>
          </w:p>
          <w:p>
            <w:pPr>
              <w:pStyle w:val="TableRowCentered"/>
              <w:ind w:left="0"/>
              <w:jc w:val="left"/>
              <w:rPr>
                <w:rFonts w:cs="Arial"/>
                <w:sz w:val="20"/>
              </w:rPr>
            </w:pPr>
            <w:r>
              <w:rPr>
                <w:rFonts w:cs="Arial"/>
                <w:sz w:val="20"/>
              </w:rPr>
              <w:t>Analysis of progress made from start of y7 to start of y8.</w:t>
            </w:r>
          </w:p>
          <w:p>
            <w:pPr>
              <w:pStyle w:val="TableRowCentered"/>
              <w:ind w:left="0"/>
              <w:jc w:val="left"/>
              <w:rPr>
                <w:rFonts w:cs="Arial"/>
                <w:sz w:val="20"/>
              </w:rPr>
            </w:pPr>
          </w:p>
          <w:p>
            <w:pPr>
              <w:pStyle w:val="TableRowCentered"/>
              <w:ind w:left="0"/>
              <w:jc w:val="left"/>
              <w:rPr>
                <w:rFonts w:cs="Arial"/>
                <w:sz w:val="20"/>
              </w:rPr>
            </w:pPr>
            <w:r>
              <w:rPr>
                <w:rFonts w:cs="Arial"/>
                <w:sz w:val="20"/>
              </w:rPr>
              <w:t>Expert TA’s + 1 teacher to be present during testing to ensure consistency.</w:t>
            </w:r>
          </w:p>
          <w:p>
            <w:pPr>
              <w:pStyle w:val="TableRowCentered"/>
              <w:ind w:left="0"/>
              <w:jc w:val="left"/>
              <w:rPr>
                <w:rFonts w:cs="Arial"/>
                <w:sz w:val="20"/>
              </w:rPr>
            </w:pPr>
          </w:p>
          <w:p>
            <w:pPr>
              <w:pStyle w:val="TableRowCentered"/>
              <w:ind w:left="0"/>
              <w:jc w:val="left"/>
              <w:rPr>
                <w:rFonts w:cs="Arial"/>
                <w:sz w:val="20"/>
              </w:rPr>
            </w:pPr>
            <w:r>
              <w:rPr>
                <w:rFonts w:cs="Arial"/>
                <w:sz w:val="20"/>
              </w:rPr>
              <w:t>Robust QA to ensure that teachers are using the reading ages to support/stretch students</w:t>
            </w:r>
          </w:p>
          <w:p>
            <w:pPr>
              <w:pStyle w:val="TableRowCentered"/>
              <w:ind w:left="0"/>
              <w:jc w:val="left"/>
              <w:rPr>
                <w:rFonts w:cs="Arial"/>
                <w:sz w:val="20"/>
              </w:rPr>
            </w:pPr>
          </w:p>
          <w:p>
            <w:pPr>
              <w:pStyle w:val="TableRowCentered"/>
              <w:ind w:left="0"/>
              <w:jc w:val="left"/>
              <w:rPr>
                <w:rFonts w:cs="Arial"/>
                <w:sz w:val="20"/>
              </w:rPr>
            </w:pPr>
            <w:r>
              <w:rPr>
                <w:rFonts w:cs="Arial"/>
                <w:sz w:val="20"/>
              </w:rPr>
              <w:t>Learning walks (HoF/SLT)</w:t>
            </w:r>
          </w:p>
          <w:p>
            <w:pPr>
              <w:pStyle w:val="TableRowCentered"/>
              <w:ind w:left="0"/>
              <w:jc w:val="left"/>
              <w:rPr>
                <w:rFonts w:cs="Arial"/>
                <w:sz w:val="20"/>
              </w:rPr>
            </w:pPr>
            <w:r>
              <w:rPr>
                <w:rFonts w:cs="Arial"/>
                <w:sz w:val="20"/>
              </w:rPr>
              <w:t>Deep Dive (SLT)</w:t>
            </w:r>
          </w:p>
          <w:p>
            <w:pPr>
              <w:pStyle w:val="TableRowCentered"/>
              <w:ind w:left="0"/>
              <w:jc w:val="left"/>
              <w:rPr>
                <w:rFonts w:cs="Arial"/>
                <w:sz w:val="20"/>
              </w:rPr>
            </w:pPr>
            <w:r>
              <w:rPr>
                <w:rFonts w:cs="Arial"/>
                <w:sz w:val="20"/>
              </w:rPr>
              <w:t>Strand review (SLT)</w:t>
            </w:r>
          </w:p>
          <w:p>
            <w:pPr>
              <w:rPr>
                <w:lang w:eastAsia="en-GB"/>
              </w:rPr>
            </w:pPr>
          </w:p>
          <w:p>
            <w:pPr>
              <w:rPr>
                <w:rFonts w:ascii="Arial" w:hAnsi="Arial" w:cs="Arial"/>
                <w:sz w:val="20"/>
                <w:szCs w:val="20"/>
                <w:lang w:eastAsia="en-GB"/>
              </w:rPr>
            </w:pPr>
            <w:r>
              <w:rPr>
                <w:rFonts w:ascii="Arial" w:hAnsi="Arial" w:cs="Arial"/>
                <w:sz w:val="20"/>
                <w:szCs w:val="20"/>
                <w:lang w:eastAsia="en-GB"/>
              </w:rPr>
              <w:t>Performance management observations</w:t>
            </w:r>
          </w:p>
        </w:tc>
        <w:tc>
          <w:tcPr>
            <w:tcW w:w="1699" w:type="dxa"/>
            <w:gridSpan w:val="2"/>
            <w:tcBorders>
              <w:right w:val="single" w:sz="4" w:space="0" w:color="000000"/>
            </w:tcBorders>
            <w:shd w:val="clear" w:color="auto" w:fill="auto"/>
          </w:tcPr>
          <w:p>
            <w:pPr>
              <w:pStyle w:val="TableRowCentered"/>
              <w:ind w:left="0"/>
              <w:jc w:val="left"/>
              <w:rPr>
                <w:rFonts w:cs="Arial"/>
                <w:b/>
                <w:sz w:val="20"/>
              </w:rPr>
            </w:pPr>
            <w:r>
              <w:rPr>
                <w:rFonts w:cs="Arial"/>
                <w:b/>
                <w:sz w:val="20"/>
              </w:rPr>
              <w:t>MTU</w:t>
            </w: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b/>
                <w:lang w:eastAsia="en-GB"/>
              </w:rPr>
            </w:pPr>
            <w:r>
              <w:rPr>
                <w:b/>
                <w:lang w:eastAsia="en-GB"/>
              </w:rPr>
              <w:t>ADO</w:t>
            </w:r>
          </w:p>
        </w:tc>
        <w:tc>
          <w:tcPr>
            <w:tcW w:w="1561" w:type="dxa"/>
            <w:gridSpan w:val="2"/>
            <w:tcBorders>
              <w:right w:val="single" w:sz="4" w:space="0" w:color="000000"/>
            </w:tcBorders>
            <w:shd w:val="clear" w:color="auto" w:fill="auto"/>
          </w:tcPr>
          <w:p>
            <w:pPr>
              <w:pStyle w:val="TableRowCentered"/>
              <w:ind w:left="0"/>
              <w:jc w:val="left"/>
              <w:rPr>
                <w:rFonts w:cs="Arial"/>
                <w:b/>
                <w:sz w:val="20"/>
              </w:rPr>
            </w:pPr>
            <w:r>
              <w:rPr>
                <w:rFonts w:cs="Arial"/>
                <w:b/>
                <w:sz w:val="20"/>
              </w:rPr>
              <w:t>November 21</w:t>
            </w:r>
          </w:p>
          <w:p>
            <w:pPr>
              <w:pStyle w:val="TableRowCentered"/>
              <w:ind w:left="0"/>
              <w:jc w:val="left"/>
              <w:rPr>
                <w:rFonts w:cs="Arial"/>
                <w:b/>
                <w:sz w:val="20"/>
              </w:rPr>
            </w:pPr>
          </w:p>
          <w:p>
            <w:pPr>
              <w:pStyle w:val="TableRowCentered"/>
              <w:ind w:left="0"/>
              <w:jc w:val="left"/>
              <w:rPr>
                <w:rFonts w:cs="Arial"/>
                <w:b/>
                <w:sz w:val="20"/>
              </w:rPr>
            </w:pPr>
          </w:p>
        </w:tc>
      </w:tr>
      <w:tr>
        <w:trPr>
          <w:trHeight w:val="58"/>
        </w:trPr>
        <w:tc>
          <w:tcPr>
            <w:tcW w:w="1986" w:type="dxa"/>
            <w:gridSpan w:val="2"/>
            <w:tcBorders>
              <w:right w:val="single" w:sz="4" w:space="0" w:color="000000"/>
            </w:tcBorders>
            <w:shd w:val="clear" w:color="auto" w:fill="auto"/>
          </w:tcPr>
          <w:p>
            <w:pPr>
              <w:pStyle w:val="TableRowCentered"/>
              <w:ind w:left="0"/>
              <w:jc w:val="left"/>
              <w:rPr>
                <w:rFonts w:cs="Arial"/>
                <w:sz w:val="20"/>
              </w:rPr>
            </w:pPr>
            <w:r>
              <w:rPr>
                <w:rFonts w:cs="Arial"/>
                <w:sz w:val="20"/>
              </w:rPr>
              <w:lastRenderedPageBreak/>
              <w:t>New appointment of SENCO. Extra role on staffing structure</w:t>
            </w:r>
          </w:p>
        </w:tc>
        <w:tc>
          <w:tcPr>
            <w:tcW w:w="3685" w:type="dxa"/>
            <w:gridSpan w:val="6"/>
            <w:tcBorders>
              <w:right w:val="single" w:sz="4" w:space="0" w:color="000000"/>
            </w:tcBorders>
            <w:shd w:val="clear" w:color="auto" w:fill="auto"/>
          </w:tcPr>
          <w:p>
            <w:pPr>
              <w:pStyle w:val="TableRowCentered"/>
              <w:ind w:left="0"/>
              <w:jc w:val="left"/>
              <w:rPr>
                <w:rFonts w:cs="Arial"/>
                <w:b/>
                <w:color w:val="000000" w:themeColor="text1"/>
                <w:sz w:val="20"/>
              </w:rPr>
            </w:pPr>
            <w:r>
              <w:rPr>
                <w:rFonts w:cs="Arial"/>
                <w:b/>
                <w:color w:val="000000" w:themeColor="text1"/>
                <w:sz w:val="20"/>
              </w:rPr>
              <w:t>A(1)  B(2)  C(3)</w:t>
            </w:r>
          </w:p>
          <w:p>
            <w:pPr>
              <w:pStyle w:val="TableRowCentered"/>
              <w:ind w:left="0"/>
              <w:jc w:val="left"/>
              <w:rPr>
                <w:rFonts w:cs="Arial"/>
                <w:b/>
                <w:color w:val="000000" w:themeColor="text1"/>
                <w:sz w:val="20"/>
              </w:rPr>
            </w:pPr>
          </w:p>
          <w:p>
            <w:pPr>
              <w:pStyle w:val="TableRowCentered"/>
              <w:ind w:left="0"/>
              <w:jc w:val="left"/>
              <w:rPr>
                <w:rFonts w:cs="Arial"/>
                <w:color w:val="000000" w:themeColor="text1"/>
                <w:sz w:val="20"/>
              </w:rPr>
            </w:pPr>
            <w:r>
              <w:rPr>
                <w:rFonts w:cs="Arial"/>
                <w:color w:val="000000" w:themeColor="text1"/>
                <w:sz w:val="20"/>
              </w:rPr>
              <w:t>Teacher use the student profiles and strategies on classcharts to insure quality first teaching and therefore a fully inclusive classroom that supports the needs of all students</w:t>
            </w:r>
          </w:p>
          <w:p>
            <w:pPr>
              <w:pStyle w:val="TableRowCentered"/>
              <w:ind w:left="0"/>
              <w:jc w:val="left"/>
              <w:rPr>
                <w:rFonts w:cs="Arial"/>
                <w:color w:val="000000" w:themeColor="text1"/>
                <w:sz w:val="20"/>
              </w:rPr>
            </w:pPr>
          </w:p>
          <w:p>
            <w:pPr>
              <w:pStyle w:val="TableRowCentered"/>
              <w:ind w:left="0"/>
              <w:jc w:val="left"/>
              <w:rPr>
                <w:rFonts w:cs="Arial"/>
                <w:b/>
                <w:color w:val="000000" w:themeColor="text1"/>
                <w:sz w:val="20"/>
              </w:rPr>
            </w:pPr>
            <w:r>
              <w:rPr>
                <w:rFonts w:cs="Arial"/>
                <w:color w:val="000000" w:themeColor="text1"/>
                <w:sz w:val="20"/>
              </w:rPr>
              <w:t>Teaching assistants are deployed affectively to support EHCP students</w:t>
            </w:r>
          </w:p>
        </w:tc>
        <w:tc>
          <w:tcPr>
            <w:tcW w:w="3827" w:type="dxa"/>
            <w:gridSpan w:val="5"/>
            <w:tcBorders>
              <w:right w:val="single" w:sz="4" w:space="0" w:color="000000"/>
            </w:tcBorders>
            <w:shd w:val="clear" w:color="auto" w:fill="auto"/>
          </w:tcPr>
          <w:p>
            <w:pPr>
              <w:pStyle w:val="TableRowCentered"/>
              <w:ind w:left="0"/>
              <w:jc w:val="left"/>
              <w:rPr>
                <w:sz w:val="20"/>
              </w:rPr>
            </w:pPr>
            <w:r>
              <w:rPr>
                <w:noProof/>
              </w:rPr>
              <w:drawing>
                <wp:inline distT="0" distB="0" distL="0" distR="0">
                  <wp:extent cx="1661795" cy="4876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61795" cy="487680"/>
                          </a:xfrm>
                          <a:prstGeom prst="rect">
                            <a:avLst/>
                          </a:prstGeom>
                        </pic:spPr>
                      </pic:pic>
                    </a:graphicData>
                  </a:graphic>
                </wp:inline>
              </w:drawing>
            </w:r>
          </w:p>
          <w:p>
            <w:pPr>
              <w:pStyle w:val="TableRowCentered"/>
              <w:ind w:left="0"/>
              <w:jc w:val="left"/>
              <w:rPr>
                <w:sz w:val="20"/>
              </w:rPr>
            </w:pPr>
          </w:p>
          <w:p>
            <w:pPr>
              <w:pStyle w:val="TableRowCentered"/>
              <w:ind w:left="0"/>
              <w:jc w:val="left"/>
              <w:rPr>
                <w:sz w:val="20"/>
              </w:rPr>
            </w:pPr>
          </w:p>
          <w:p>
            <w:pPr>
              <w:pStyle w:val="TableRowCentered"/>
              <w:ind w:left="0"/>
              <w:jc w:val="left"/>
              <w:rPr>
                <w:sz w:val="20"/>
              </w:rPr>
            </w:pPr>
            <w:r>
              <w:rPr>
                <w:sz w:val="20"/>
              </w:rPr>
              <w:t>“Every day, teachers get the chance to inspire children and young people, shaping thousands of lives. But the growing number of pupils means we need to attract even more people into the profession, and then make sure they are supported to not just stay, but to thrive”. (DfE Teacher Recruitment and Retention Strategy, January 2019)</w:t>
            </w:r>
          </w:p>
          <w:p>
            <w:pPr>
              <w:pStyle w:val="TableRowCentered"/>
              <w:ind w:left="0"/>
              <w:jc w:val="left"/>
              <w:rPr>
                <w:sz w:val="20"/>
              </w:rPr>
            </w:pPr>
          </w:p>
          <w:p>
            <w:pPr>
              <w:pStyle w:val="TableRowCentered"/>
              <w:ind w:left="0"/>
              <w:jc w:val="left"/>
              <w:rPr>
                <w:rFonts w:cs="Arial"/>
                <w:noProof/>
                <w:sz w:val="20"/>
              </w:rPr>
            </w:pPr>
            <w:r>
              <w:rPr>
                <w:sz w:val="20"/>
              </w:rPr>
              <w:t>‘Curriculum is adapted, designed, or developed to be ambitious and meet the need of all pupils with SEND. Students can develop their knowledge, skills and what they know with increasing fluency and independence’ (Ofsted handbook Sept21)</w:t>
            </w:r>
          </w:p>
        </w:tc>
        <w:tc>
          <w:tcPr>
            <w:tcW w:w="2127" w:type="dxa"/>
            <w:tcBorders>
              <w:right w:val="single" w:sz="4" w:space="0" w:color="000000"/>
            </w:tcBorders>
            <w:shd w:val="clear" w:color="auto" w:fill="auto"/>
          </w:tcPr>
          <w:p>
            <w:pPr>
              <w:pStyle w:val="TableRowCentered"/>
              <w:ind w:left="0"/>
              <w:jc w:val="left"/>
              <w:rPr>
                <w:rFonts w:cs="Arial"/>
                <w:sz w:val="20"/>
              </w:rPr>
            </w:pPr>
            <w:r>
              <w:rPr>
                <w:rFonts w:cs="Arial"/>
                <w:sz w:val="20"/>
              </w:rPr>
              <w:t>TA observations.</w:t>
            </w:r>
          </w:p>
          <w:p>
            <w:pPr>
              <w:pStyle w:val="TableRowCentered"/>
              <w:ind w:left="0"/>
              <w:jc w:val="left"/>
              <w:rPr>
                <w:rFonts w:cs="Arial"/>
                <w:sz w:val="20"/>
              </w:rPr>
            </w:pPr>
          </w:p>
          <w:p>
            <w:pPr>
              <w:pStyle w:val="TableRowCentered"/>
              <w:ind w:left="0"/>
              <w:jc w:val="left"/>
              <w:rPr>
                <w:rFonts w:cs="Arial"/>
                <w:sz w:val="20"/>
              </w:rPr>
            </w:pPr>
            <w:r>
              <w:rPr>
                <w:rFonts w:cs="Arial"/>
                <w:sz w:val="20"/>
              </w:rPr>
              <w:t>Learning walks (HoF/HoD/SLT)</w:t>
            </w:r>
          </w:p>
          <w:p>
            <w:pPr>
              <w:pStyle w:val="TableRowCentered"/>
              <w:ind w:left="0"/>
              <w:jc w:val="left"/>
              <w:rPr>
                <w:rFonts w:cs="Arial"/>
                <w:sz w:val="20"/>
              </w:rPr>
            </w:pPr>
          </w:p>
          <w:p>
            <w:pPr>
              <w:pStyle w:val="TableRowCentered"/>
              <w:ind w:left="0"/>
              <w:jc w:val="left"/>
              <w:rPr>
                <w:rFonts w:cs="Arial"/>
                <w:sz w:val="20"/>
              </w:rPr>
            </w:pPr>
            <w:r>
              <w:rPr>
                <w:rFonts w:cs="Arial"/>
                <w:sz w:val="20"/>
              </w:rPr>
              <w:t>Deep Dive (SLT)</w:t>
            </w:r>
          </w:p>
          <w:p>
            <w:pPr>
              <w:pStyle w:val="TableRowCentered"/>
              <w:ind w:left="0"/>
              <w:jc w:val="left"/>
              <w:rPr>
                <w:rFonts w:cs="Arial"/>
                <w:sz w:val="20"/>
              </w:rPr>
            </w:pPr>
          </w:p>
          <w:p>
            <w:pPr>
              <w:pStyle w:val="TableRowCentered"/>
              <w:ind w:left="0"/>
              <w:jc w:val="left"/>
              <w:rPr>
                <w:rFonts w:cs="Arial"/>
                <w:sz w:val="20"/>
              </w:rPr>
            </w:pPr>
            <w:r>
              <w:rPr>
                <w:rFonts w:cs="Arial"/>
                <w:sz w:val="20"/>
              </w:rPr>
              <w:t>Strand review (SLT)</w:t>
            </w:r>
          </w:p>
          <w:p>
            <w:pPr>
              <w:rPr>
                <w:lang w:eastAsia="en-GB"/>
              </w:rPr>
            </w:pPr>
          </w:p>
          <w:p>
            <w:pPr>
              <w:pStyle w:val="TableRowCentered"/>
              <w:ind w:left="0"/>
              <w:jc w:val="left"/>
              <w:rPr>
                <w:rFonts w:cs="Arial"/>
                <w:b/>
                <w:sz w:val="20"/>
              </w:rPr>
            </w:pPr>
            <w:r>
              <w:rPr>
                <w:rFonts w:cs="Arial"/>
                <w:sz w:val="20"/>
              </w:rPr>
              <w:t>Performance management observations (HoF/SLT)</w:t>
            </w:r>
          </w:p>
          <w:p>
            <w:pPr>
              <w:rPr>
                <w:lang w:eastAsia="en-GB"/>
              </w:rPr>
            </w:pPr>
          </w:p>
          <w:p>
            <w:pPr>
              <w:rPr>
                <w:lang w:eastAsia="en-GB"/>
              </w:rPr>
            </w:pPr>
            <w:r>
              <w:rPr>
                <w:lang w:eastAsia="en-GB"/>
              </w:rPr>
              <w:t>TA timetable</w:t>
            </w:r>
          </w:p>
          <w:p>
            <w:pPr>
              <w:rPr>
                <w:lang w:eastAsia="en-GB"/>
              </w:rPr>
            </w:pPr>
          </w:p>
          <w:p>
            <w:pPr>
              <w:rPr>
                <w:lang w:eastAsia="en-GB"/>
              </w:rPr>
            </w:pPr>
          </w:p>
          <w:p>
            <w:pPr>
              <w:rPr>
                <w:lang w:eastAsia="en-GB"/>
              </w:rPr>
            </w:pPr>
            <w:r>
              <w:rPr>
                <w:lang w:eastAsia="en-GB"/>
              </w:rPr>
              <w:t>QA link meeting s with DHT</w:t>
            </w:r>
          </w:p>
        </w:tc>
        <w:tc>
          <w:tcPr>
            <w:tcW w:w="1699" w:type="dxa"/>
            <w:gridSpan w:val="2"/>
            <w:tcBorders>
              <w:right w:val="single" w:sz="4" w:space="0" w:color="000000"/>
            </w:tcBorders>
            <w:shd w:val="clear" w:color="auto" w:fill="auto"/>
          </w:tcPr>
          <w:p>
            <w:pPr>
              <w:pStyle w:val="TableRowCentered"/>
              <w:ind w:left="0"/>
              <w:jc w:val="left"/>
              <w:rPr>
                <w:rFonts w:cs="Arial"/>
                <w:b/>
                <w:sz w:val="20"/>
              </w:rPr>
            </w:pPr>
            <w:r>
              <w:rPr>
                <w:rFonts w:cs="Arial"/>
                <w:b/>
                <w:sz w:val="20"/>
              </w:rPr>
              <w:t>JCA</w:t>
            </w:r>
          </w:p>
        </w:tc>
        <w:tc>
          <w:tcPr>
            <w:tcW w:w="1561" w:type="dxa"/>
            <w:gridSpan w:val="2"/>
            <w:tcBorders>
              <w:right w:val="single" w:sz="4" w:space="0" w:color="000000"/>
            </w:tcBorders>
            <w:shd w:val="clear" w:color="auto" w:fill="auto"/>
          </w:tcPr>
          <w:p>
            <w:pPr>
              <w:pStyle w:val="TableRowCentered"/>
              <w:ind w:left="0"/>
              <w:jc w:val="left"/>
              <w:rPr>
                <w:rFonts w:cs="Arial"/>
                <w:b/>
                <w:sz w:val="20"/>
              </w:rPr>
            </w:pPr>
            <w:r>
              <w:rPr>
                <w:rFonts w:cs="Arial"/>
                <w:b/>
                <w:sz w:val="20"/>
              </w:rPr>
              <w:t>Nov21</w:t>
            </w:r>
          </w:p>
          <w:p>
            <w:pPr>
              <w:pStyle w:val="TableRowCentered"/>
              <w:ind w:left="0"/>
              <w:jc w:val="left"/>
              <w:rPr>
                <w:rFonts w:cs="Arial"/>
                <w:b/>
                <w:sz w:val="20"/>
              </w:rPr>
            </w:pPr>
          </w:p>
        </w:tc>
      </w:tr>
      <w:tr>
        <w:trPr>
          <w:trHeight w:val="58"/>
        </w:trPr>
        <w:tc>
          <w:tcPr>
            <w:tcW w:w="1986" w:type="dxa"/>
            <w:gridSpan w:val="2"/>
            <w:tcBorders>
              <w:right w:val="single" w:sz="4" w:space="0" w:color="000000"/>
            </w:tcBorders>
            <w:shd w:val="clear" w:color="auto" w:fill="auto"/>
          </w:tcPr>
          <w:p>
            <w:pPr>
              <w:pStyle w:val="TableRowCentered"/>
              <w:ind w:left="0"/>
              <w:jc w:val="left"/>
              <w:rPr>
                <w:rFonts w:cs="Arial"/>
                <w:sz w:val="20"/>
              </w:rPr>
            </w:pPr>
            <w:r>
              <w:rPr>
                <w:rFonts w:cs="Arial"/>
                <w:sz w:val="20"/>
              </w:rPr>
              <w:t xml:space="preserve">Prepare KS4 for external examinations through extra y10/y11 parents evening, KS4 exams handbook, purchase of revision guides for </w:t>
            </w:r>
            <w:r>
              <w:rPr>
                <w:rFonts w:cs="Arial"/>
                <w:sz w:val="20"/>
              </w:rPr>
              <w:lastRenderedPageBreak/>
              <w:t>English, maths and science for y11.</w:t>
            </w:r>
          </w:p>
          <w:p>
            <w:pPr>
              <w:pStyle w:val="TableRowCentered"/>
              <w:ind w:left="0"/>
              <w:jc w:val="left"/>
              <w:rPr>
                <w:rFonts w:cs="Arial"/>
                <w:sz w:val="20"/>
              </w:rPr>
            </w:pPr>
          </w:p>
        </w:tc>
        <w:tc>
          <w:tcPr>
            <w:tcW w:w="3685" w:type="dxa"/>
            <w:gridSpan w:val="6"/>
            <w:tcBorders>
              <w:right w:val="single" w:sz="4" w:space="0" w:color="000000"/>
            </w:tcBorders>
            <w:shd w:val="clear" w:color="auto" w:fill="auto"/>
          </w:tcPr>
          <w:p>
            <w:pPr>
              <w:pStyle w:val="TableRowCentered"/>
              <w:ind w:left="0"/>
              <w:jc w:val="left"/>
              <w:rPr>
                <w:rFonts w:cs="Arial"/>
                <w:b/>
                <w:color w:val="000000" w:themeColor="text1"/>
                <w:sz w:val="20"/>
              </w:rPr>
            </w:pPr>
            <w:r>
              <w:rPr>
                <w:rFonts w:cs="Arial"/>
                <w:b/>
                <w:color w:val="000000" w:themeColor="text1"/>
                <w:sz w:val="20"/>
              </w:rPr>
              <w:lastRenderedPageBreak/>
              <w:t>B(2) E(5)</w:t>
            </w:r>
          </w:p>
          <w:p>
            <w:pPr>
              <w:pStyle w:val="TableRowCentered"/>
              <w:ind w:left="0"/>
              <w:jc w:val="left"/>
              <w:rPr>
                <w:rFonts w:cs="Arial"/>
                <w:color w:val="000000" w:themeColor="text1"/>
                <w:sz w:val="20"/>
              </w:rPr>
            </w:pPr>
            <w:r>
              <w:rPr>
                <w:rFonts w:cs="Arial"/>
                <w:color w:val="000000" w:themeColor="text1"/>
                <w:sz w:val="20"/>
              </w:rPr>
              <w:t>Students feel prepared and supported though exam season and are aware of all relevant changes to exams.</w:t>
            </w:r>
          </w:p>
          <w:p>
            <w:pPr>
              <w:pStyle w:val="TableRowCentered"/>
              <w:ind w:left="0"/>
              <w:jc w:val="left"/>
              <w:rPr>
                <w:rFonts w:cs="Arial"/>
                <w:color w:val="000000" w:themeColor="text1"/>
                <w:sz w:val="20"/>
              </w:rPr>
            </w:pPr>
          </w:p>
          <w:p>
            <w:pPr>
              <w:pStyle w:val="TableRowCentered"/>
              <w:ind w:left="0"/>
              <w:jc w:val="left"/>
              <w:rPr>
                <w:rFonts w:cs="Arial"/>
                <w:b/>
                <w:color w:val="000000" w:themeColor="text1"/>
                <w:sz w:val="20"/>
              </w:rPr>
            </w:pPr>
            <w:r>
              <w:rPr>
                <w:rFonts w:cs="Arial"/>
                <w:color w:val="000000" w:themeColor="text1"/>
                <w:sz w:val="20"/>
              </w:rPr>
              <w:t>Greater number of students in education and employment once leaving KHS</w:t>
            </w:r>
          </w:p>
        </w:tc>
        <w:tc>
          <w:tcPr>
            <w:tcW w:w="3827" w:type="dxa"/>
            <w:gridSpan w:val="5"/>
            <w:tcBorders>
              <w:right w:val="single" w:sz="4" w:space="0" w:color="000000"/>
            </w:tcBorders>
            <w:shd w:val="clear" w:color="auto" w:fill="auto"/>
          </w:tcPr>
          <w:p>
            <w:pPr>
              <w:pStyle w:val="TableRowCentered"/>
              <w:ind w:left="0"/>
              <w:jc w:val="left"/>
              <w:rPr>
                <w:noProof/>
                <w:sz w:val="20"/>
              </w:rPr>
            </w:pPr>
            <w:r>
              <w:rPr>
                <w:rFonts w:cs="Arial"/>
                <w:sz w:val="20"/>
              </w:rPr>
              <w:t>‘Disadvantaged pupils are twice as likely not to be in education, employment or training and are at a higher risk of poverty as adults’. (DfE, 2015).</w:t>
            </w:r>
          </w:p>
        </w:tc>
        <w:tc>
          <w:tcPr>
            <w:tcW w:w="2127" w:type="dxa"/>
            <w:tcBorders>
              <w:right w:val="single" w:sz="4" w:space="0" w:color="000000"/>
            </w:tcBorders>
            <w:shd w:val="clear" w:color="auto" w:fill="auto"/>
          </w:tcPr>
          <w:p>
            <w:pPr>
              <w:pStyle w:val="TableRowCentered"/>
              <w:ind w:left="0"/>
              <w:jc w:val="left"/>
              <w:rPr>
                <w:rFonts w:cs="Arial"/>
                <w:sz w:val="20"/>
              </w:rPr>
            </w:pPr>
          </w:p>
          <w:p>
            <w:pPr>
              <w:pStyle w:val="TableRowCentered"/>
              <w:ind w:left="0"/>
              <w:jc w:val="left"/>
              <w:rPr>
                <w:rFonts w:cs="Arial"/>
                <w:sz w:val="20"/>
              </w:rPr>
            </w:pPr>
            <w:r>
              <w:rPr>
                <w:rFonts w:cs="Arial"/>
                <w:sz w:val="20"/>
              </w:rPr>
              <w:t>% attendance of disadvantaged parents to parents evening</w:t>
            </w:r>
          </w:p>
          <w:p>
            <w:pPr>
              <w:pStyle w:val="TableRowCentered"/>
              <w:ind w:left="0"/>
              <w:jc w:val="left"/>
              <w:rPr>
                <w:rFonts w:cs="Arial"/>
                <w:sz w:val="20"/>
              </w:rPr>
            </w:pPr>
          </w:p>
          <w:p>
            <w:pPr>
              <w:pStyle w:val="TableRowCentered"/>
              <w:ind w:left="0"/>
              <w:jc w:val="left"/>
              <w:rPr>
                <w:rFonts w:cs="Arial"/>
                <w:sz w:val="20"/>
              </w:rPr>
            </w:pPr>
          </w:p>
        </w:tc>
        <w:tc>
          <w:tcPr>
            <w:tcW w:w="1699" w:type="dxa"/>
            <w:gridSpan w:val="2"/>
            <w:tcBorders>
              <w:right w:val="single" w:sz="4" w:space="0" w:color="000000"/>
            </w:tcBorders>
            <w:shd w:val="clear" w:color="auto" w:fill="auto"/>
          </w:tcPr>
          <w:p>
            <w:pPr>
              <w:pStyle w:val="TableRowCentered"/>
              <w:ind w:left="0"/>
              <w:jc w:val="left"/>
              <w:rPr>
                <w:rFonts w:cs="Arial"/>
                <w:b/>
                <w:sz w:val="20"/>
              </w:rPr>
            </w:pPr>
            <w:r>
              <w:rPr>
                <w:rFonts w:cs="Arial"/>
                <w:b/>
                <w:sz w:val="20"/>
              </w:rPr>
              <w:t>MTU</w:t>
            </w:r>
          </w:p>
        </w:tc>
        <w:tc>
          <w:tcPr>
            <w:tcW w:w="1561" w:type="dxa"/>
            <w:gridSpan w:val="2"/>
            <w:tcBorders>
              <w:right w:val="single" w:sz="4" w:space="0" w:color="000000"/>
            </w:tcBorders>
            <w:shd w:val="clear" w:color="auto" w:fill="auto"/>
          </w:tcPr>
          <w:p>
            <w:pPr>
              <w:pStyle w:val="TableRowCentered"/>
              <w:ind w:left="0"/>
              <w:jc w:val="left"/>
              <w:rPr>
                <w:rFonts w:cs="Arial"/>
                <w:b/>
                <w:sz w:val="20"/>
              </w:rPr>
            </w:pPr>
            <w:r>
              <w:rPr>
                <w:rFonts w:cs="Arial"/>
                <w:b/>
                <w:sz w:val="20"/>
              </w:rPr>
              <w:t>Oct 21 Y11</w:t>
            </w:r>
          </w:p>
          <w:p>
            <w:pPr>
              <w:pStyle w:val="TableRowCentered"/>
              <w:ind w:left="0"/>
              <w:jc w:val="left"/>
              <w:rPr>
                <w:rFonts w:cs="Arial"/>
                <w:b/>
                <w:sz w:val="20"/>
              </w:rPr>
            </w:pPr>
            <w:r>
              <w:rPr>
                <w:rFonts w:cs="Arial"/>
                <w:b/>
                <w:sz w:val="20"/>
              </w:rPr>
              <w:t>June 22 Y10</w:t>
            </w:r>
          </w:p>
        </w:tc>
      </w:tr>
      <w:tr>
        <w:trPr>
          <w:trHeight w:val="58"/>
        </w:trPr>
        <w:tc>
          <w:tcPr>
            <w:tcW w:w="1986" w:type="dxa"/>
            <w:gridSpan w:val="2"/>
            <w:tcBorders>
              <w:right w:val="single" w:sz="4" w:space="0" w:color="000000"/>
            </w:tcBorders>
            <w:shd w:val="clear" w:color="auto" w:fill="auto"/>
          </w:tcPr>
          <w:p>
            <w:pPr>
              <w:pStyle w:val="TableRowCentered"/>
              <w:ind w:left="0"/>
              <w:jc w:val="left"/>
              <w:rPr>
                <w:rFonts w:cs="Arial"/>
                <w:sz w:val="20"/>
              </w:rPr>
            </w:pPr>
            <w:r>
              <w:rPr>
                <w:rFonts w:cs="Arial"/>
                <w:sz w:val="20"/>
              </w:rPr>
              <w:lastRenderedPageBreak/>
              <w:t>Provide quality CPD  of teaching through ‘Rosenshine principles of teaching’</w:t>
            </w:r>
          </w:p>
        </w:tc>
        <w:tc>
          <w:tcPr>
            <w:tcW w:w="3685" w:type="dxa"/>
            <w:gridSpan w:val="6"/>
            <w:tcBorders>
              <w:right w:val="single" w:sz="4" w:space="0" w:color="000000"/>
            </w:tcBorders>
            <w:shd w:val="clear" w:color="auto" w:fill="auto"/>
          </w:tcPr>
          <w:p>
            <w:pPr>
              <w:pStyle w:val="TableRowCentered"/>
              <w:ind w:left="0"/>
              <w:jc w:val="left"/>
              <w:rPr>
                <w:rFonts w:cs="Arial"/>
                <w:b/>
                <w:color w:val="000000" w:themeColor="text1"/>
                <w:sz w:val="20"/>
              </w:rPr>
            </w:pPr>
            <w:r>
              <w:rPr>
                <w:rFonts w:cs="Arial"/>
                <w:b/>
                <w:color w:val="000000" w:themeColor="text1"/>
                <w:sz w:val="20"/>
              </w:rPr>
              <w:t>A(1) B(2)</w:t>
            </w:r>
          </w:p>
          <w:p>
            <w:pPr>
              <w:contextualSpacing/>
              <w:rPr>
                <w:rFonts w:ascii="Arial" w:hAnsi="Arial" w:cs="Arial"/>
                <w:sz w:val="20"/>
                <w:szCs w:val="20"/>
              </w:rPr>
            </w:pPr>
            <w:r>
              <w:rPr>
                <w:rFonts w:ascii="Arial" w:hAnsi="Arial" w:cs="Arial"/>
                <w:sz w:val="20"/>
                <w:szCs w:val="20"/>
              </w:rPr>
              <w:t>Teaching and Learning facilitators trained in Rosenshine’s‘principles of instruction’</w:t>
            </w:r>
          </w:p>
          <w:p>
            <w:pPr>
              <w:contextualSpacing/>
              <w:rPr>
                <w:rFonts w:ascii="Arial" w:hAnsi="Arial" w:cs="Arial"/>
                <w:sz w:val="20"/>
                <w:szCs w:val="20"/>
              </w:rPr>
            </w:pPr>
          </w:p>
          <w:p>
            <w:pPr>
              <w:contextualSpacing/>
              <w:rPr>
                <w:rFonts w:ascii="Arial" w:hAnsi="Arial" w:cs="Arial"/>
                <w:sz w:val="20"/>
                <w:szCs w:val="20"/>
              </w:rPr>
            </w:pPr>
            <w:r>
              <w:rPr>
                <w:rFonts w:ascii="Arial" w:hAnsi="Arial" w:cs="Arial"/>
                <w:sz w:val="20"/>
                <w:szCs w:val="20"/>
              </w:rPr>
              <w:t>Faculty CPD sessions to be led by facilitator (subject-specific Rosenshine principles)</w:t>
            </w:r>
          </w:p>
          <w:p>
            <w:pPr>
              <w:contextualSpacing/>
              <w:rPr>
                <w:rFonts w:ascii="Arial" w:hAnsi="Arial" w:cs="Arial"/>
                <w:sz w:val="20"/>
                <w:szCs w:val="20"/>
              </w:rPr>
            </w:pPr>
          </w:p>
          <w:p>
            <w:pPr>
              <w:contextualSpacing/>
              <w:rPr>
                <w:rFonts w:ascii="Arial" w:hAnsi="Arial" w:cs="Arial"/>
                <w:sz w:val="20"/>
                <w:szCs w:val="20"/>
              </w:rPr>
            </w:pPr>
            <w:r>
              <w:rPr>
                <w:rFonts w:ascii="Arial" w:hAnsi="Arial" w:cs="Arial"/>
                <w:sz w:val="20"/>
                <w:szCs w:val="20"/>
              </w:rPr>
              <w:t>Faculty CPD calendars quality assured, cross-referenced with F/DDPs and SDP</w:t>
            </w:r>
          </w:p>
          <w:p>
            <w:pPr>
              <w:contextualSpacing/>
              <w:rPr>
                <w:rFonts w:ascii="Arial" w:hAnsi="Arial" w:cs="Arial"/>
                <w:sz w:val="20"/>
                <w:szCs w:val="20"/>
              </w:rPr>
            </w:pPr>
            <w:r>
              <w:rPr>
                <w:rFonts w:ascii="Arial" w:hAnsi="Arial" w:cs="Arial"/>
                <w:sz w:val="20"/>
                <w:szCs w:val="20"/>
              </w:rPr>
              <w:t>New process in place to quality assure individual faculty / department CPD sessions</w:t>
            </w:r>
          </w:p>
          <w:p>
            <w:pPr>
              <w:contextualSpacing/>
              <w:rPr>
                <w:rFonts w:ascii="Arial" w:hAnsi="Arial" w:cs="Arial"/>
                <w:sz w:val="20"/>
                <w:szCs w:val="20"/>
              </w:rPr>
            </w:pPr>
          </w:p>
          <w:p>
            <w:pPr>
              <w:contextualSpacing/>
              <w:rPr>
                <w:rFonts w:ascii="Arial" w:hAnsi="Arial" w:cs="Arial"/>
                <w:sz w:val="20"/>
                <w:szCs w:val="20"/>
              </w:rPr>
            </w:pPr>
            <w:r>
              <w:rPr>
                <w:rFonts w:ascii="Arial" w:hAnsi="Arial" w:cs="Arial"/>
                <w:sz w:val="20"/>
                <w:szCs w:val="20"/>
              </w:rPr>
              <w:t xml:space="preserve">SISRA observe training for HoDs / HoFs in 2 x leadership meetings </w:t>
            </w:r>
          </w:p>
          <w:p>
            <w:pPr>
              <w:contextualSpacing/>
              <w:rPr>
                <w:rFonts w:ascii="Arial" w:hAnsi="Arial" w:cs="Arial"/>
                <w:sz w:val="20"/>
                <w:szCs w:val="20"/>
              </w:rPr>
            </w:pPr>
          </w:p>
          <w:p>
            <w:pPr>
              <w:contextualSpacing/>
              <w:rPr>
                <w:rFonts w:ascii="Arial" w:hAnsi="Arial" w:cs="Arial"/>
                <w:sz w:val="20"/>
                <w:szCs w:val="20"/>
              </w:rPr>
            </w:pPr>
            <w:r>
              <w:rPr>
                <w:rFonts w:ascii="Arial" w:hAnsi="Arial" w:cs="Arial"/>
                <w:sz w:val="20"/>
                <w:szCs w:val="20"/>
              </w:rPr>
              <w:t>INSET focused on new observation proforma for all teachers</w:t>
            </w:r>
          </w:p>
          <w:p>
            <w:pPr>
              <w:contextualSpacing/>
              <w:rPr>
                <w:rFonts w:ascii="Arial" w:hAnsi="Arial" w:cs="Arial"/>
                <w:sz w:val="20"/>
                <w:szCs w:val="20"/>
              </w:rPr>
            </w:pPr>
          </w:p>
          <w:p>
            <w:pPr>
              <w:contextualSpacing/>
              <w:rPr>
                <w:rFonts w:ascii="Arial" w:hAnsi="Arial" w:cs="Arial"/>
                <w:sz w:val="20"/>
                <w:szCs w:val="20"/>
              </w:rPr>
            </w:pPr>
            <w:r>
              <w:rPr>
                <w:rFonts w:ascii="Arial" w:hAnsi="Arial" w:cs="Arial"/>
                <w:sz w:val="20"/>
                <w:szCs w:val="20"/>
              </w:rPr>
              <w:t>INSET focused on National College opportunities (and links to SISRA observe established). All staff have National College password</w:t>
            </w:r>
          </w:p>
          <w:p>
            <w:pPr>
              <w:contextualSpacing/>
              <w:rPr>
                <w:rFonts w:ascii="Arial" w:hAnsi="Arial" w:cs="Arial"/>
                <w:sz w:val="20"/>
                <w:szCs w:val="20"/>
              </w:rPr>
            </w:pPr>
          </w:p>
          <w:p>
            <w:pPr>
              <w:contextualSpacing/>
              <w:rPr>
                <w:rFonts w:ascii="Arial" w:hAnsi="Arial" w:cs="Arial"/>
                <w:sz w:val="20"/>
                <w:szCs w:val="20"/>
              </w:rPr>
            </w:pPr>
            <w:r>
              <w:rPr>
                <w:rFonts w:ascii="Arial" w:hAnsi="Arial" w:cs="Arial"/>
                <w:sz w:val="20"/>
                <w:szCs w:val="20"/>
              </w:rPr>
              <w:t>Language of exams CPD for new starters (Technology, Science, PE, MFL, History)</w:t>
            </w:r>
          </w:p>
          <w:p>
            <w:pPr>
              <w:contextualSpacing/>
              <w:rPr>
                <w:rFonts w:ascii="Arial" w:hAnsi="Arial" w:cs="Arial"/>
                <w:sz w:val="20"/>
                <w:szCs w:val="20"/>
              </w:rPr>
            </w:pPr>
            <w:r>
              <w:rPr>
                <w:rFonts w:ascii="Arial" w:hAnsi="Arial" w:cs="Arial"/>
                <w:sz w:val="20"/>
                <w:szCs w:val="20"/>
              </w:rPr>
              <w:t>Acceptance of three ITT students (English, Maths and Science) – placement starting 01/11/21</w:t>
            </w:r>
          </w:p>
          <w:p>
            <w:pPr>
              <w:rPr>
                <w:rFonts w:ascii="Arial" w:hAnsi="Arial" w:cs="Arial"/>
                <w:sz w:val="20"/>
                <w:szCs w:val="20"/>
                <w:lang w:eastAsia="en-GB"/>
              </w:rPr>
            </w:pPr>
          </w:p>
        </w:tc>
        <w:tc>
          <w:tcPr>
            <w:tcW w:w="3827" w:type="dxa"/>
            <w:gridSpan w:val="5"/>
            <w:tcBorders>
              <w:right w:val="single" w:sz="4" w:space="0" w:color="000000"/>
            </w:tcBorders>
            <w:shd w:val="clear" w:color="auto" w:fill="auto"/>
          </w:tcPr>
          <w:p>
            <w:pPr>
              <w:pStyle w:val="TableRowCentered"/>
              <w:ind w:left="0"/>
              <w:jc w:val="left"/>
              <w:rPr>
                <w:rFonts w:cs="Arial"/>
                <w:sz w:val="20"/>
              </w:rPr>
            </w:pPr>
            <w:r>
              <w:rPr>
                <w:noProof/>
              </w:rPr>
              <w:drawing>
                <wp:inline distT="0" distB="0" distL="0" distR="0">
                  <wp:extent cx="1661795" cy="487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61795" cy="487680"/>
                          </a:xfrm>
                          <a:prstGeom prst="rect">
                            <a:avLst/>
                          </a:prstGeom>
                        </pic:spPr>
                      </pic:pic>
                    </a:graphicData>
                  </a:graphic>
                </wp:inline>
              </w:drawing>
            </w:r>
          </w:p>
          <w:p>
            <w:pPr>
              <w:rPr>
                <w:lang w:eastAsia="en-GB"/>
              </w:rPr>
            </w:pPr>
            <w:r>
              <w:rPr>
                <w:noProof/>
                <w:lang w:eastAsia="en-GB"/>
              </w:rPr>
              <w:drawing>
                <wp:inline distT="0" distB="0" distL="0" distR="0">
                  <wp:extent cx="1661795" cy="4997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61795" cy="499745"/>
                          </a:xfrm>
                          <a:prstGeom prst="rect">
                            <a:avLst/>
                          </a:prstGeom>
                        </pic:spPr>
                      </pic:pic>
                    </a:graphicData>
                  </a:graphic>
                </wp:inline>
              </w:drawing>
            </w:r>
          </w:p>
          <w:p>
            <w:pPr>
              <w:rPr>
                <w:rFonts w:ascii="Arial" w:hAnsi="Arial" w:cs="Arial"/>
                <w:sz w:val="20"/>
                <w:szCs w:val="20"/>
                <w:lang w:eastAsia="en-GB"/>
              </w:rPr>
            </w:pPr>
            <w:r>
              <w:rPr>
                <w:rFonts w:ascii="Arial" w:hAnsi="Arial" w:cs="Arial"/>
                <w:sz w:val="20"/>
                <w:szCs w:val="20"/>
                <w:lang w:eastAsia="en-GB"/>
              </w:rPr>
              <w:t>‘Most successful school see students as individuals rather than stereoptyping disadvantaged students as a group with similar problems and less potential to achieve’ (NFER 2016)</w:t>
            </w:r>
          </w:p>
          <w:p>
            <w:pPr>
              <w:rPr>
                <w:rFonts w:ascii="Arial" w:hAnsi="Arial" w:cs="Arial"/>
                <w:sz w:val="20"/>
                <w:szCs w:val="20"/>
                <w:lang w:eastAsia="en-GB"/>
              </w:rPr>
            </w:pPr>
          </w:p>
          <w:p>
            <w:pPr>
              <w:rPr>
                <w:rFonts w:ascii="Arial" w:hAnsi="Arial" w:cs="Arial"/>
                <w:sz w:val="20"/>
                <w:szCs w:val="20"/>
                <w:lang w:eastAsia="en-GB"/>
              </w:rPr>
            </w:pPr>
            <w:r>
              <w:rPr>
                <w:noProof/>
                <w:lang w:eastAsia="en-GB"/>
              </w:rPr>
              <w:drawing>
                <wp:inline distT="0" distB="0" distL="0" distR="0">
                  <wp:extent cx="1661795" cy="5060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61795" cy="506095"/>
                          </a:xfrm>
                          <a:prstGeom prst="rect">
                            <a:avLst/>
                          </a:prstGeom>
                        </pic:spPr>
                      </pic:pic>
                    </a:graphicData>
                  </a:graphic>
                </wp:inline>
              </w:drawing>
            </w:r>
          </w:p>
        </w:tc>
        <w:tc>
          <w:tcPr>
            <w:tcW w:w="2127" w:type="dxa"/>
            <w:tcBorders>
              <w:right w:val="single" w:sz="4" w:space="0" w:color="000000"/>
            </w:tcBorders>
            <w:shd w:val="clear" w:color="auto" w:fill="auto"/>
          </w:tcPr>
          <w:p>
            <w:pPr>
              <w:rPr>
                <w:rFonts w:ascii="Arial" w:hAnsi="Arial" w:cs="Arial"/>
                <w:sz w:val="20"/>
                <w:szCs w:val="20"/>
              </w:rPr>
            </w:pPr>
            <w:r>
              <w:rPr>
                <w:rFonts w:ascii="Arial" w:hAnsi="Arial" w:cs="Arial"/>
                <w:sz w:val="20"/>
                <w:szCs w:val="20"/>
              </w:rPr>
              <w:t>HoF/D learning walk w/c 04.10.2021.</w:t>
            </w:r>
          </w:p>
          <w:p>
            <w:pPr>
              <w:rPr>
                <w:rFonts w:ascii="Arial" w:hAnsi="Arial" w:cs="Arial"/>
                <w:sz w:val="20"/>
                <w:szCs w:val="20"/>
              </w:rPr>
            </w:pPr>
          </w:p>
          <w:p>
            <w:pPr>
              <w:rPr>
                <w:rFonts w:ascii="Arial" w:hAnsi="Arial" w:cs="Arial"/>
                <w:sz w:val="20"/>
                <w:szCs w:val="20"/>
              </w:rPr>
            </w:pPr>
            <w:r>
              <w:rPr>
                <w:rFonts w:ascii="Arial" w:hAnsi="Arial" w:cs="Arial"/>
                <w:sz w:val="20"/>
                <w:szCs w:val="20"/>
              </w:rPr>
              <w:t>STEM Ambassador talk(s) completed – 27.09.2021 – haematology y7.</w:t>
            </w:r>
          </w:p>
          <w:p>
            <w:pPr>
              <w:rPr>
                <w:rFonts w:ascii="Arial" w:hAnsi="Arial" w:cs="Arial"/>
                <w:sz w:val="20"/>
                <w:szCs w:val="20"/>
              </w:rPr>
            </w:pPr>
          </w:p>
          <w:p>
            <w:pPr>
              <w:rPr>
                <w:rFonts w:ascii="Arial" w:hAnsi="Arial" w:cs="Arial"/>
                <w:sz w:val="20"/>
                <w:szCs w:val="20"/>
              </w:rPr>
            </w:pPr>
            <w:r>
              <w:rPr>
                <w:rFonts w:ascii="Arial" w:hAnsi="Arial" w:cs="Arial"/>
                <w:sz w:val="20"/>
                <w:szCs w:val="20"/>
              </w:rPr>
              <w:t>SOW review 11.10.2021.</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Work scrutiny </w:t>
            </w:r>
          </w:p>
          <w:p>
            <w:pPr>
              <w:rPr>
                <w:rFonts w:ascii="Arial" w:hAnsi="Arial" w:cs="Arial"/>
                <w:sz w:val="20"/>
                <w:szCs w:val="20"/>
              </w:rPr>
            </w:pPr>
          </w:p>
          <w:p>
            <w:pPr>
              <w:rPr>
                <w:rFonts w:ascii="Arial" w:hAnsi="Arial" w:cs="Arial"/>
                <w:sz w:val="20"/>
                <w:szCs w:val="20"/>
              </w:rPr>
            </w:pPr>
            <w:r>
              <w:rPr>
                <w:rFonts w:ascii="Arial" w:hAnsi="Arial" w:cs="Arial"/>
                <w:sz w:val="20"/>
                <w:szCs w:val="20"/>
              </w:rPr>
              <w:t>Lesson observations – ongoing Sept- Dec.</w:t>
            </w:r>
          </w:p>
          <w:p>
            <w:pPr>
              <w:rPr>
                <w:rFonts w:ascii="Arial" w:hAnsi="Arial" w:cs="Arial"/>
                <w:sz w:val="20"/>
                <w:szCs w:val="20"/>
              </w:rPr>
            </w:pPr>
            <w:r>
              <w:rPr>
                <w:rFonts w:ascii="Arial" w:hAnsi="Arial" w:cs="Arial"/>
                <w:sz w:val="20"/>
                <w:szCs w:val="20"/>
              </w:rPr>
              <w:t>ECT – minutes weekly mentor meeting. Audit of online materials accessed by the ECT’s. Lesson Observations.</w:t>
            </w:r>
          </w:p>
          <w:p>
            <w:pPr>
              <w:rPr>
                <w:rFonts w:ascii="Arial" w:hAnsi="Arial" w:cs="Arial"/>
                <w:sz w:val="20"/>
                <w:szCs w:val="20"/>
              </w:rPr>
            </w:pPr>
            <w:r>
              <w:rPr>
                <w:rFonts w:ascii="Arial" w:hAnsi="Arial" w:cs="Arial"/>
                <w:sz w:val="20"/>
                <w:szCs w:val="20"/>
              </w:rPr>
              <w:t>Monitor attendance of students targeted for intervention (weekly sessions).</w:t>
            </w:r>
          </w:p>
          <w:p>
            <w:pPr>
              <w:pStyle w:val="TableRowCentered"/>
              <w:ind w:left="0"/>
              <w:jc w:val="left"/>
              <w:rPr>
                <w:rFonts w:cs="Arial"/>
                <w:sz w:val="20"/>
              </w:rPr>
            </w:pPr>
          </w:p>
        </w:tc>
        <w:tc>
          <w:tcPr>
            <w:tcW w:w="1699" w:type="dxa"/>
            <w:gridSpan w:val="2"/>
            <w:tcBorders>
              <w:right w:val="single" w:sz="4" w:space="0" w:color="000000"/>
            </w:tcBorders>
            <w:shd w:val="clear" w:color="auto" w:fill="auto"/>
          </w:tcPr>
          <w:p>
            <w:pPr>
              <w:pStyle w:val="TableRowCentered"/>
              <w:ind w:left="0"/>
              <w:jc w:val="left"/>
              <w:rPr>
                <w:rFonts w:cs="Arial"/>
                <w:b/>
                <w:sz w:val="20"/>
              </w:rPr>
            </w:pPr>
            <w:r>
              <w:rPr>
                <w:rFonts w:cs="Arial"/>
                <w:b/>
                <w:sz w:val="20"/>
              </w:rPr>
              <w:t>ADO</w:t>
            </w:r>
          </w:p>
        </w:tc>
        <w:tc>
          <w:tcPr>
            <w:tcW w:w="1561" w:type="dxa"/>
            <w:gridSpan w:val="2"/>
            <w:tcBorders>
              <w:right w:val="single" w:sz="4" w:space="0" w:color="000000"/>
            </w:tcBorders>
            <w:shd w:val="clear" w:color="auto" w:fill="auto"/>
          </w:tcPr>
          <w:p>
            <w:pPr>
              <w:pStyle w:val="TableRowCentered"/>
              <w:ind w:left="0"/>
              <w:jc w:val="left"/>
              <w:rPr>
                <w:rFonts w:cs="Arial"/>
                <w:b/>
                <w:sz w:val="20"/>
              </w:rPr>
            </w:pPr>
            <w:r>
              <w:rPr>
                <w:rFonts w:cs="Arial"/>
                <w:b/>
                <w:sz w:val="20"/>
              </w:rPr>
              <w:t>Autumn Term</w:t>
            </w:r>
          </w:p>
        </w:tc>
      </w:tr>
      <w:tr>
        <w:trPr>
          <w:trHeight w:val="58"/>
        </w:trPr>
        <w:tc>
          <w:tcPr>
            <w:tcW w:w="1986" w:type="dxa"/>
            <w:gridSpan w:val="2"/>
            <w:tcBorders>
              <w:right w:val="single" w:sz="4" w:space="0" w:color="000000"/>
            </w:tcBorders>
            <w:shd w:val="clear" w:color="auto" w:fill="auto"/>
          </w:tcPr>
          <w:p>
            <w:pPr>
              <w:pStyle w:val="TableRowCentered"/>
              <w:ind w:left="0"/>
              <w:jc w:val="left"/>
              <w:rPr>
                <w:rFonts w:cs="Arial"/>
                <w:sz w:val="20"/>
              </w:rPr>
            </w:pPr>
            <w:r>
              <w:rPr>
                <w:rFonts w:cs="Arial"/>
                <w:sz w:val="20"/>
              </w:rPr>
              <w:lastRenderedPageBreak/>
              <w:t>Purchase SISRA Observe/National College subscriptions and provide CPD on their effective use to improve teaching learning.</w:t>
            </w:r>
          </w:p>
        </w:tc>
        <w:tc>
          <w:tcPr>
            <w:tcW w:w="3685" w:type="dxa"/>
            <w:gridSpan w:val="6"/>
            <w:tcBorders>
              <w:right w:val="single" w:sz="4" w:space="0" w:color="000000"/>
            </w:tcBorders>
            <w:shd w:val="clear" w:color="auto" w:fill="auto"/>
          </w:tcPr>
          <w:p>
            <w:pPr>
              <w:pStyle w:val="TableRowCentered"/>
              <w:jc w:val="left"/>
              <w:rPr>
                <w:rFonts w:cs="Arial"/>
                <w:b/>
                <w:sz w:val="20"/>
              </w:rPr>
            </w:pPr>
            <w:r>
              <w:rPr>
                <w:rFonts w:cs="Arial"/>
                <w:b/>
                <w:sz w:val="20"/>
              </w:rPr>
              <w:t>A(1) B(2)</w:t>
            </w:r>
          </w:p>
          <w:p>
            <w:pPr>
              <w:pStyle w:val="TableRowCentered"/>
              <w:jc w:val="left"/>
              <w:rPr>
                <w:rFonts w:cs="Arial"/>
                <w:sz w:val="20"/>
              </w:rPr>
            </w:pPr>
            <w:r>
              <w:rPr>
                <w:rFonts w:cs="Arial"/>
                <w:sz w:val="20"/>
              </w:rPr>
              <w:t xml:space="preserve">Improved teaching and learning  by moving observation documents online via SISRA allowing strengths and areas for development to be used more effectively </w:t>
            </w:r>
          </w:p>
          <w:p>
            <w:pPr>
              <w:pStyle w:val="TableRowCentered"/>
              <w:jc w:val="left"/>
              <w:rPr>
                <w:rFonts w:cs="Arial"/>
                <w:sz w:val="20"/>
              </w:rPr>
            </w:pPr>
          </w:p>
          <w:p>
            <w:pPr>
              <w:pStyle w:val="TableRowCentered"/>
              <w:jc w:val="left"/>
              <w:rPr>
                <w:rFonts w:cs="Arial"/>
                <w:sz w:val="20"/>
              </w:rPr>
            </w:pPr>
            <w:r>
              <w:rPr>
                <w:rFonts w:cs="Arial"/>
                <w:sz w:val="20"/>
              </w:rPr>
              <w:t>National College subscription links to SISRA so staff can have targeted intervention to maximise progress</w:t>
            </w:r>
          </w:p>
          <w:p>
            <w:pPr>
              <w:pStyle w:val="TableRowCentered"/>
              <w:ind w:left="0"/>
              <w:jc w:val="left"/>
              <w:rPr>
                <w:rFonts w:cs="Arial"/>
                <w:b/>
                <w:color w:val="000000" w:themeColor="text1"/>
                <w:sz w:val="20"/>
              </w:rPr>
            </w:pPr>
          </w:p>
        </w:tc>
        <w:tc>
          <w:tcPr>
            <w:tcW w:w="3827" w:type="dxa"/>
            <w:gridSpan w:val="5"/>
            <w:tcBorders>
              <w:right w:val="single" w:sz="4" w:space="0" w:color="000000"/>
            </w:tcBorders>
            <w:shd w:val="clear" w:color="auto" w:fill="auto"/>
          </w:tcPr>
          <w:p>
            <w:pPr>
              <w:pStyle w:val="TableRowCentered"/>
              <w:ind w:left="0"/>
              <w:jc w:val="left"/>
              <w:rPr>
                <w:noProof/>
              </w:rPr>
            </w:pPr>
            <w:r>
              <w:rPr>
                <w:noProof/>
              </w:rPr>
              <w:t>.</w:t>
            </w:r>
            <w:r>
              <w:rPr>
                <w:noProof/>
              </w:rPr>
              <w:drawing>
                <wp:inline distT="0" distB="0" distL="0" distR="0">
                  <wp:extent cx="1661795" cy="4838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61795" cy="483870"/>
                          </a:xfrm>
                          <a:prstGeom prst="rect">
                            <a:avLst/>
                          </a:prstGeom>
                        </pic:spPr>
                      </pic:pic>
                    </a:graphicData>
                  </a:graphic>
                </wp:inline>
              </w:drawing>
            </w:r>
          </w:p>
        </w:tc>
        <w:tc>
          <w:tcPr>
            <w:tcW w:w="2127" w:type="dxa"/>
            <w:tcBorders>
              <w:right w:val="single" w:sz="4" w:space="0" w:color="000000"/>
            </w:tcBorders>
            <w:shd w:val="clear" w:color="auto" w:fill="auto"/>
          </w:tcPr>
          <w:p>
            <w:pPr>
              <w:rPr>
                <w:rFonts w:ascii="Arial" w:hAnsi="Arial" w:cs="Arial"/>
                <w:sz w:val="20"/>
                <w:szCs w:val="20"/>
              </w:rPr>
            </w:pPr>
            <w:r>
              <w:rPr>
                <w:rFonts w:ascii="Arial" w:hAnsi="Arial" w:cs="Arial"/>
                <w:sz w:val="20"/>
                <w:szCs w:val="20"/>
              </w:rPr>
              <w:t>SISRA records</w:t>
            </w:r>
          </w:p>
        </w:tc>
        <w:tc>
          <w:tcPr>
            <w:tcW w:w="1699" w:type="dxa"/>
            <w:gridSpan w:val="2"/>
            <w:tcBorders>
              <w:right w:val="single" w:sz="4" w:space="0" w:color="000000"/>
            </w:tcBorders>
            <w:shd w:val="clear" w:color="auto" w:fill="auto"/>
          </w:tcPr>
          <w:p>
            <w:pPr>
              <w:pStyle w:val="TableRowCentered"/>
              <w:ind w:left="0"/>
              <w:jc w:val="left"/>
              <w:rPr>
                <w:rFonts w:cs="Arial"/>
                <w:sz w:val="20"/>
              </w:rPr>
            </w:pPr>
            <w:r>
              <w:rPr>
                <w:rFonts w:cs="Arial"/>
                <w:sz w:val="20"/>
              </w:rPr>
              <w:t>ADO</w:t>
            </w:r>
          </w:p>
        </w:tc>
        <w:tc>
          <w:tcPr>
            <w:tcW w:w="1561" w:type="dxa"/>
            <w:gridSpan w:val="2"/>
            <w:tcBorders>
              <w:right w:val="single" w:sz="4" w:space="0" w:color="000000"/>
            </w:tcBorders>
            <w:shd w:val="clear" w:color="auto" w:fill="auto"/>
          </w:tcPr>
          <w:p>
            <w:pPr>
              <w:pStyle w:val="TableRowCentered"/>
              <w:ind w:left="0"/>
              <w:jc w:val="left"/>
              <w:rPr>
                <w:rFonts w:cs="Arial"/>
                <w:sz w:val="20"/>
              </w:rPr>
            </w:pPr>
            <w:r>
              <w:rPr>
                <w:rFonts w:cs="Arial"/>
                <w:sz w:val="20"/>
              </w:rPr>
              <w:t xml:space="preserve">Half termly </w:t>
            </w:r>
          </w:p>
        </w:tc>
      </w:tr>
      <w:tr>
        <w:trPr>
          <w:trHeight w:val="58"/>
        </w:trPr>
        <w:tc>
          <w:tcPr>
            <w:tcW w:w="1986" w:type="dxa"/>
            <w:gridSpan w:val="2"/>
            <w:tcBorders>
              <w:right w:val="single" w:sz="4" w:space="0" w:color="000000"/>
            </w:tcBorders>
            <w:shd w:val="clear" w:color="auto" w:fill="auto"/>
          </w:tcPr>
          <w:p>
            <w:pPr>
              <w:pStyle w:val="TableRowCentered"/>
              <w:ind w:left="0"/>
              <w:jc w:val="left"/>
              <w:rPr>
                <w:sz w:val="20"/>
              </w:rPr>
            </w:pPr>
            <w:r>
              <w:rPr>
                <w:sz w:val="20"/>
              </w:rPr>
              <w:t>Purchase IRIS and licence for all ECTs and one for English and math faculty.</w:t>
            </w:r>
          </w:p>
        </w:tc>
        <w:tc>
          <w:tcPr>
            <w:tcW w:w="3685" w:type="dxa"/>
            <w:gridSpan w:val="6"/>
            <w:tcBorders>
              <w:right w:val="single" w:sz="4" w:space="0" w:color="000000"/>
            </w:tcBorders>
            <w:shd w:val="clear" w:color="auto" w:fill="auto"/>
          </w:tcPr>
          <w:p>
            <w:pPr>
              <w:pStyle w:val="TableRowCentered"/>
              <w:ind w:left="0"/>
              <w:jc w:val="left"/>
              <w:rPr>
                <w:b/>
                <w:sz w:val="20"/>
              </w:rPr>
            </w:pPr>
            <w:r>
              <w:rPr>
                <w:b/>
                <w:sz w:val="20"/>
              </w:rPr>
              <w:t>A(1) B(2)</w:t>
            </w:r>
          </w:p>
          <w:p>
            <w:pPr>
              <w:pStyle w:val="TableRowCentered"/>
              <w:ind w:left="0"/>
              <w:jc w:val="left"/>
              <w:rPr>
                <w:sz w:val="20"/>
              </w:rPr>
            </w:pPr>
            <w:r>
              <w:rPr>
                <w:sz w:val="20"/>
              </w:rPr>
              <w:t>Increased informal collaboration of teachers and to provide CPD for teachers who require it.</w:t>
            </w:r>
          </w:p>
          <w:p>
            <w:pPr>
              <w:pStyle w:val="TableRowCentered"/>
              <w:ind w:left="0"/>
              <w:jc w:val="left"/>
              <w:rPr>
                <w:sz w:val="20"/>
              </w:rPr>
            </w:pPr>
            <w:r>
              <w:rPr>
                <w:sz w:val="20"/>
              </w:rPr>
              <w:t>Improved teaching and learning</w:t>
            </w:r>
          </w:p>
        </w:tc>
        <w:tc>
          <w:tcPr>
            <w:tcW w:w="3827" w:type="dxa"/>
            <w:gridSpan w:val="5"/>
            <w:tcBorders>
              <w:right w:val="single" w:sz="4" w:space="0" w:color="000000"/>
            </w:tcBorders>
            <w:shd w:val="clear" w:color="auto" w:fill="auto"/>
          </w:tcPr>
          <w:p>
            <w:pPr>
              <w:pStyle w:val="TableRowCentered"/>
              <w:ind w:left="0"/>
              <w:jc w:val="left"/>
              <w:rPr>
                <w:sz w:val="20"/>
              </w:rPr>
            </w:pPr>
            <w:r>
              <w:rPr>
                <w:sz w:val="20"/>
              </w:rPr>
              <w:t>Collaborative learning approaches have high impact according to EEF Teacher Tool Kit.</w:t>
            </w:r>
          </w:p>
          <w:p>
            <w:pPr>
              <w:pStyle w:val="TableRowCentered"/>
              <w:ind w:left="0"/>
              <w:jc w:val="left"/>
              <w:rPr>
                <w:sz w:val="20"/>
              </w:rPr>
            </w:pPr>
            <w:hyperlink r:id="rId16">
              <w:r>
                <w:rPr>
                  <w:color w:val="0000FF"/>
                  <w:u w:val="single" w:color="0000FF"/>
                </w:rPr>
                <w:t>EEF toolkit</w:t>
              </w:r>
              <w:r>
                <w:rPr>
                  <w:color w:val="0000FF"/>
                </w:rPr>
                <w:t xml:space="preserve"> </w:t>
              </w:r>
            </w:hyperlink>
          </w:p>
        </w:tc>
        <w:tc>
          <w:tcPr>
            <w:tcW w:w="2127" w:type="dxa"/>
            <w:tcBorders>
              <w:right w:val="single" w:sz="4" w:space="0" w:color="000000"/>
            </w:tcBorders>
            <w:shd w:val="clear" w:color="auto" w:fill="auto"/>
          </w:tcPr>
          <w:p>
            <w:pPr>
              <w:pStyle w:val="TableRowCentered"/>
              <w:ind w:left="0"/>
              <w:jc w:val="left"/>
              <w:rPr>
                <w:sz w:val="20"/>
              </w:rPr>
            </w:pPr>
            <w:r>
              <w:rPr>
                <w:sz w:val="20"/>
              </w:rPr>
              <w:t>ECT action plans</w:t>
            </w:r>
          </w:p>
        </w:tc>
        <w:tc>
          <w:tcPr>
            <w:tcW w:w="1699" w:type="dxa"/>
            <w:gridSpan w:val="2"/>
            <w:tcBorders>
              <w:right w:val="single" w:sz="4" w:space="0" w:color="000000"/>
            </w:tcBorders>
            <w:shd w:val="clear" w:color="auto" w:fill="auto"/>
          </w:tcPr>
          <w:p>
            <w:pPr>
              <w:pStyle w:val="TableRowCentered"/>
              <w:ind w:left="0"/>
              <w:jc w:val="left"/>
              <w:rPr>
                <w:sz w:val="20"/>
              </w:rPr>
            </w:pPr>
            <w:r>
              <w:rPr>
                <w:sz w:val="20"/>
              </w:rPr>
              <w:t>PGR</w:t>
            </w:r>
          </w:p>
        </w:tc>
        <w:tc>
          <w:tcPr>
            <w:tcW w:w="1561" w:type="dxa"/>
            <w:gridSpan w:val="2"/>
            <w:tcBorders>
              <w:right w:val="single" w:sz="4" w:space="0" w:color="000000"/>
            </w:tcBorders>
            <w:shd w:val="clear" w:color="auto" w:fill="auto"/>
          </w:tcPr>
          <w:p>
            <w:pPr>
              <w:pStyle w:val="TableRowCentered"/>
              <w:ind w:left="0"/>
              <w:jc w:val="left"/>
              <w:rPr>
                <w:sz w:val="20"/>
              </w:rPr>
            </w:pPr>
            <w:r>
              <w:rPr>
                <w:sz w:val="20"/>
              </w:rPr>
              <w:t>Half termly</w:t>
            </w:r>
          </w:p>
        </w:tc>
      </w:tr>
      <w:tr>
        <w:trPr>
          <w:trHeight w:val="58"/>
        </w:trPr>
        <w:tc>
          <w:tcPr>
            <w:tcW w:w="1986" w:type="dxa"/>
            <w:gridSpan w:val="2"/>
            <w:tcBorders>
              <w:right w:val="single" w:sz="4" w:space="0" w:color="000000"/>
            </w:tcBorders>
            <w:shd w:val="clear" w:color="auto" w:fill="auto"/>
          </w:tcPr>
          <w:p>
            <w:pPr>
              <w:pStyle w:val="TableRowCentered"/>
              <w:ind w:left="0"/>
              <w:jc w:val="left"/>
              <w:rPr>
                <w:b/>
                <w:szCs w:val="24"/>
              </w:rPr>
            </w:pPr>
            <w:r>
              <w:rPr>
                <w:rFonts w:cs="Arial"/>
                <w:sz w:val="20"/>
              </w:rPr>
              <w:t>Alternative provision visits by SLT to evaluate quality of provision</w:t>
            </w:r>
          </w:p>
        </w:tc>
        <w:tc>
          <w:tcPr>
            <w:tcW w:w="3685" w:type="dxa"/>
            <w:gridSpan w:val="6"/>
            <w:tcBorders>
              <w:right w:val="single" w:sz="4" w:space="0" w:color="000000"/>
            </w:tcBorders>
            <w:shd w:val="clear" w:color="auto" w:fill="auto"/>
          </w:tcPr>
          <w:p>
            <w:pPr>
              <w:pStyle w:val="TableRowCentered"/>
              <w:jc w:val="left"/>
              <w:rPr>
                <w:b/>
                <w:sz w:val="20"/>
              </w:rPr>
            </w:pPr>
            <w:r>
              <w:rPr>
                <w:b/>
                <w:sz w:val="20"/>
              </w:rPr>
              <w:t>B(2)  C(3) D(4)  E(5)</w:t>
            </w:r>
          </w:p>
          <w:p>
            <w:pPr>
              <w:pStyle w:val="TableRowCentered"/>
              <w:jc w:val="left"/>
              <w:rPr>
                <w:sz w:val="20"/>
              </w:rPr>
            </w:pPr>
            <w:r>
              <w:rPr>
                <w:sz w:val="20"/>
              </w:rPr>
              <w:t xml:space="preserve">To evaluate the quality of education provided to Kirkby High School students  </w:t>
            </w:r>
          </w:p>
          <w:p>
            <w:pPr>
              <w:pStyle w:val="TableRowCentered"/>
              <w:jc w:val="left"/>
              <w:rPr>
                <w:sz w:val="20"/>
              </w:rPr>
            </w:pPr>
            <w:r>
              <w:rPr>
                <w:sz w:val="20"/>
              </w:rPr>
              <w:t>To review the impact of this on students’ progress towards qualifications</w:t>
            </w:r>
          </w:p>
          <w:p>
            <w:pPr>
              <w:pStyle w:val="TableRowCentered"/>
              <w:jc w:val="left"/>
              <w:rPr>
                <w:sz w:val="20"/>
              </w:rPr>
            </w:pPr>
            <w:r>
              <w:rPr>
                <w:sz w:val="20"/>
              </w:rPr>
              <w:t>To improve the communication between Kirkby High School and the provision</w:t>
            </w:r>
          </w:p>
          <w:p>
            <w:pPr>
              <w:pStyle w:val="TableRowCentered"/>
              <w:jc w:val="left"/>
              <w:rPr>
                <w:sz w:val="20"/>
              </w:rPr>
            </w:pPr>
            <w:r>
              <w:rPr>
                <w:sz w:val="20"/>
              </w:rPr>
              <w:t>To share good practice across both settings</w:t>
            </w:r>
          </w:p>
          <w:p>
            <w:pPr>
              <w:pStyle w:val="TableRowCentered"/>
              <w:jc w:val="left"/>
              <w:rPr>
                <w:sz w:val="20"/>
              </w:rPr>
            </w:pPr>
            <w:r>
              <w:rPr>
                <w:sz w:val="20"/>
              </w:rPr>
              <w:t>Students tracked by MLY and progress monitored termly.</w:t>
            </w:r>
          </w:p>
        </w:tc>
        <w:tc>
          <w:tcPr>
            <w:tcW w:w="3827" w:type="dxa"/>
            <w:gridSpan w:val="5"/>
            <w:tcBorders>
              <w:right w:val="single" w:sz="4" w:space="0" w:color="000000"/>
            </w:tcBorders>
            <w:shd w:val="clear" w:color="auto" w:fill="auto"/>
          </w:tcPr>
          <w:p>
            <w:pPr>
              <w:pStyle w:val="TableRowCentered"/>
              <w:ind w:left="0"/>
              <w:jc w:val="left"/>
              <w:rPr>
                <w:b/>
                <w:szCs w:val="24"/>
              </w:rPr>
            </w:pPr>
            <w:r>
              <w:rPr>
                <w:rFonts w:cs="Arial"/>
                <w:sz w:val="20"/>
              </w:rPr>
              <w:t>Disadvantaged pupils are twice as likely not to be in education, employment or training and are at a higher risk of poverty as adults’. (DfE, 2015).</w:t>
            </w:r>
          </w:p>
          <w:p>
            <w:pPr>
              <w:rPr>
                <w:rFonts w:ascii="Arial" w:hAnsi="Arial" w:cs="Arial"/>
                <w:sz w:val="20"/>
                <w:szCs w:val="20"/>
                <w:lang w:eastAsia="en-GB"/>
              </w:rPr>
            </w:pPr>
            <w:r>
              <w:rPr>
                <w:rFonts w:ascii="Arial" w:hAnsi="Arial" w:cs="Arial"/>
                <w:sz w:val="20"/>
                <w:szCs w:val="20"/>
              </w:rPr>
              <w:t>Our data indicates that students who attend alternative provision underperform at GCSE level. Please note that we place students in alternative provision when we have exhausted all options within the school and it is the best fit for the child and in the best interests of other students for them to be educated off site. This decision is not taken lightly and follows extensive support.</w:t>
            </w:r>
          </w:p>
          <w:p>
            <w:pPr>
              <w:rPr>
                <w:rFonts w:ascii="Arial" w:hAnsi="Arial" w:cs="Arial"/>
                <w:sz w:val="20"/>
                <w:szCs w:val="20"/>
                <w:lang w:eastAsia="en-GB"/>
              </w:rPr>
            </w:pPr>
          </w:p>
        </w:tc>
        <w:tc>
          <w:tcPr>
            <w:tcW w:w="2127" w:type="dxa"/>
            <w:tcBorders>
              <w:right w:val="single" w:sz="4" w:space="0" w:color="000000"/>
            </w:tcBorders>
            <w:shd w:val="clear" w:color="auto" w:fill="auto"/>
          </w:tcPr>
          <w:p>
            <w:pPr>
              <w:pStyle w:val="TableRowCentered"/>
              <w:ind w:left="0"/>
              <w:jc w:val="left"/>
              <w:rPr>
                <w:sz w:val="20"/>
              </w:rPr>
            </w:pPr>
            <w:r>
              <w:rPr>
                <w:sz w:val="20"/>
              </w:rPr>
              <w:t>Quality of Education review documents</w:t>
            </w:r>
          </w:p>
        </w:tc>
        <w:tc>
          <w:tcPr>
            <w:tcW w:w="1699" w:type="dxa"/>
            <w:gridSpan w:val="2"/>
            <w:tcBorders>
              <w:right w:val="single" w:sz="4" w:space="0" w:color="000000"/>
            </w:tcBorders>
            <w:shd w:val="clear" w:color="auto" w:fill="auto"/>
          </w:tcPr>
          <w:p>
            <w:pPr>
              <w:pStyle w:val="TableRowCentered"/>
              <w:ind w:left="0"/>
              <w:jc w:val="left"/>
              <w:rPr>
                <w:sz w:val="20"/>
              </w:rPr>
            </w:pPr>
            <w:r>
              <w:rPr>
                <w:sz w:val="20"/>
              </w:rPr>
              <w:t>ADO/MTU/AKE</w:t>
            </w:r>
          </w:p>
        </w:tc>
        <w:tc>
          <w:tcPr>
            <w:tcW w:w="1561" w:type="dxa"/>
            <w:gridSpan w:val="2"/>
            <w:tcBorders>
              <w:right w:val="single" w:sz="4" w:space="0" w:color="000000"/>
            </w:tcBorders>
            <w:shd w:val="clear" w:color="auto" w:fill="auto"/>
          </w:tcPr>
          <w:p>
            <w:pPr>
              <w:pStyle w:val="TableRowCentered"/>
              <w:ind w:left="0"/>
              <w:jc w:val="left"/>
              <w:rPr>
                <w:sz w:val="20"/>
              </w:rPr>
            </w:pPr>
            <w:r>
              <w:rPr>
                <w:sz w:val="20"/>
              </w:rPr>
              <w:t>Timetabled during Autumn term 21</w:t>
            </w:r>
          </w:p>
        </w:tc>
      </w:tr>
      <w:tr>
        <w:trPr>
          <w:trHeight w:val="58"/>
        </w:trPr>
        <w:tc>
          <w:tcPr>
            <w:tcW w:w="13324" w:type="dxa"/>
            <w:gridSpan w:val="16"/>
            <w:tcBorders>
              <w:right w:val="single" w:sz="4" w:space="0" w:color="000000"/>
            </w:tcBorders>
            <w:shd w:val="clear" w:color="auto" w:fill="DEEAF6" w:themeFill="accent1" w:themeFillTint="33"/>
          </w:tcPr>
          <w:p>
            <w:pPr>
              <w:pStyle w:val="TableRowCentered"/>
              <w:ind w:left="0"/>
              <w:jc w:val="right"/>
              <w:rPr>
                <w:b/>
                <w:szCs w:val="24"/>
              </w:rPr>
            </w:pPr>
            <w:r>
              <w:rPr>
                <w:b/>
              </w:rPr>
              <w:t>Total budgeted cost</w:t>
            </w:r>
          </w:p>
        </w:tc>
        <w:tc>
          <w:tcPr>
            <w:tcW w:w="1561" w:type="dxa"/>
            <w:gridSpan w:val="2"/>
            <w:tcBorders>
              <w:right w:val="single" w:sz="4" w:space="0" w:color="000000"/>
            </w:tcBorders>
            <w:shd w:val="clear" w:color="auto" w:fill="auto"/>
          </w:tcPr>
          <w:p>
            <w:pPr>
              <w:pStyle w:val="TableRowCentered"/>
              <w:ind w:left="0"/>
              <w:jc w:val="left"/>
              <w:rPr>
                <w:b/>
                <w:szCs w:val="24"/>
              </w:rPr>
            </w:pPr>
            <w:r>
              <w:rPr>
                <w:b/>
                <w:szCs w:val="24"/>
              </w:rPr>
              <w:t>£271 738</w:t>
            </w:r>
          </w:p>
        </w:tc>
      </w:tr>
      <w:tr>
        <w:trPr>
          <w:trHeight w:val="58"/>
        </w:trPr>
        <w:tc>
          <w:tcPr>
            <w:tcW w:w="14885" w:type="dxa"/>
            <w:gridSpan w:val="18"/>
            <w:tcBorders>
              <w:right w:val="single" w:sz="4" w:space="0" w:color="000000"/>
            </w:tcBorders>
            <w:shd w:val="clear" w:color="auto" w:fill="DEEAF6" w:themeFill="accent1" w:themeFillTint="33"/>
          </w:tcPr>
          <w:p>
            <w:pPr>
              <w:pStyle w:val="TableRowCentered"/>
              <w:ind w:left="0"/>
              <w:jc w:val="left"/>
              <w:rPr>
                <w:b/>
                <w:szCs w:val="24"/>
              </w:rPr>
            </w:pPr>
            <w:r>
              <w:rPr>
                <w:b/>
                <w:szCs w:val="24"/>
              </w:rPr>
              <w:t>ii.  Targeted support</w:t>
            </w:r>
          </w:p>
        </w:tc>
      </w:tr>
      <w:tr>
        <w:trPr>
          <w:trHeight w:val="58"/>
        </w:trPr>
        <w:tc>
          <w:tcPr>
            <w:tcW w:w="1986" w:type="dxa"/>
            <w:gridSpan w:val="2"/>
          </w:tcPr>
          <w:p>
            <w:pPr>
              <w:pStyle w:val="TableParagraph"/>
              <w:spacing w:before="55"/>
              <w:ind w:left="102"/>
              <w:rPr>
                <w:b/>
                <w:sz w:val="24"/>
              </w:rPr>
            </w:pPr>
            <w:r>
              <w:rPr>
                <w:b/>
                <w:color w:val="0D0D0D"/>
                <w:sz w:val="24"/>
              </w:rPr>
              <w:lastRenderedPageBreak/>
              <w:t>Action</w:t>
            </w:r>
          </w:p>
        </w:tc>
        <w:tc>
          <w:tcPr>
            <w:tcW w:w="3685" w:type="dxa"/>
            <w:gridSpan w:val="6"/>
          </w:tcPr>
          <w:p>
            <w:pPr>
              <w:pStyle w:val="TableParagraph"/>
              <w:spacing w:before="55"/>
              <w:ind w:left="170"/>
              <w:rPr>
                <w:b/>
                <w:color w:val="0D0D0D"/>
                <w:sz w:val="24"/>
              </w:rPr>
            </w:pPr>
            <w:r>
              <w:rPr>
                <w:b/>
                <w:color w:val="0D0D0D"/>
                <w:sz w:val="24"/>
              </w:rPr>
              <w:t>Intended outcome</w:t>
            </w:r>
          </w:p>
          <w:p>
            <w:pPr>
              <w:pStyle w:val="TableParagraph"/>
              <w:spacing w:before="55"/>
              <w:ind w:left="170"/>
              <w:rPr>
                <w:b/>
                <w:sz w:val="24"/>
              </w:rPr>
            </w:pPr>
            <w:r>
              <w:rPr>
                <w:b/>
                <w:color w:val="0D0D0D"/>
                <w:sz w:val="24"/>
              </w:rPr>
              <w:t>(Letters refer to overall intended outcomes in section 4)</w:t>
            </w:r>
          </w:p>
        </w:tc>
        <w:tc>
          <w:tcPr>
            <w:tcW w:w="3827" w:type="dxa"/>
            <w:gridSpan w:val="5"/>
          </w:tcPr>
          <w:p>
            <w:pPr>
              <w:pStyle w:val="TableParagraph"/>
              <w:spacing w:before="55" w:line="288" w:lineRule="auto"/>
              <w:ind w:left="103" w:right="374"/>
              <w:rPr>
                <w:b/>
                <w:sz w:val="24"/>
              </w:rPr>
            </w:pPr>
            <w:r>
              <w:rPr>
                <w:b/>
                <w:color w:val="0D0D0D"/>
                <w:sz w:val="24"/>
              </w:rPr>
              <w:t>What is the evidence and rationale for this choice?</w:t>
            </w:r>
          </w:p>
        </w:tc>
        <w:tc>
          <w:tcPr>
            <w:tcW w:w="2127" w:type="dxa"/>
          </w:tcPr>
          <w:p>
            <w:pPr>
              <w:pStyle w:val="TableParagraph"/>
              <w:spacing w:before="55" w:line="288" w:lineRule="auto"/>
              <w:ind w:left="102" w:right="199"/>
              <w:rPr>
                <w:b/>
                <w:sz w:val="24"/>
              </w:rPr>
            </w:pPr>
            <w:r>
              <w:rPr>
                <w:b/>
                <w:color w:val="0D0D0D"/>
                <w:sz w:val="24"/>
              </w:rPr>
              <w:t>How will you ensure it is implemented well?</w:t>
            </w:r>
          </w:p>
        </w:tc>
        <w:tc>
          <w:tcPr>
            <w:tcW w:w="1699" w:type="dxa"/>
            <w:gridSpan w:val="2"/>
          </w:tcPr>
          <w:p>
            <w:pPr>
              <w:pStyle w:val="TableParagraph"/>
              <w:spacing w:before="55"/>
              <w:ind w:left="102"/>
              <w:rPr>
                <w:b/>
                <w:sz w:val="24"/>
              </w:rPr>
            </w:pPr>
            <w:r>
              <w:rPr>
                <w:b/>
                <w:color w:val="0D0D0D"/>
                <w:sz w:val="24"/>
              </w:rPr>
              <w:t>Staff lead</w:t>
            </w:r>
          </w:p>
        </w:tc>
        <w:tc>
          <w:tcPr>
            <w:tcW w:w="1561" w:type="dxa"/>
            <w:gridSpan w:val="2"/>
          </w:tcPr>
          <w:p>
            <w:pPr>
              <w:pStyle w:val="TableParagraph"/>
              <w:spacing w:before="55" w:line="288" w:lineRule="auto"/>
              <w:ind w:left="102"/>
              <w:rPr>
                <w:b/>
                <w:sz w:val="24"/>
              </w:rPr>
            </w:pPr>
            <w:r>
              <w:rPr>
                <w:b/>
                <w:color w:val="0D0D0D"/>
                <w:sz w:val="24"/>
              </w:rPr>
              <w:t>When will you review implementation?</w:t>
            </w:r>
          </w:p>
        </w:tc>
      </w:tr>
      <w:tr>
        <w:trPr>
          <w:trHeight w:val="58"/>
        </w:trPr>
        <w:tc>
          <w:tcPr>
            <w:tcW w:w="1986" w:type="dxa"/>
            <w:gridSpan w:val="2"/>
            <w:tcBorders>
              <w:right w:val="single" w:sz="4" w:space="0" w:color="000000"/>
            </w:tcBorders>
            <w:shd w:val="clear" w:color="auto" w:fill="auto"/>
          </w:tcPr>
          <w:p>
            <w:pPr>
              <w:pStyle w:val="TableRowCentered"/>
              <w:ind w:left="0"/>
              <w:jc w:val="left"/>
              <w:rPr>
                <w:b/>
                <w:szCs w:val="24"/>
              </w:rPr>
            </w:pPr>
            <w:r>
              <w:rPr>
                <w:rFonts w:cs="Arial"/>
                <w:sz w:val="20"/>
              </w:rPr>
              <w:t>Employ English and Maths tutor for targeted students who have fallen behind due to the pandemic (Sept21)</w:t>
            </w:r>
          </w:p>
          <w:p>
            <w:pPr>
              <w:rPr>
                <w:lang w:eastAsia="en-GB"/>
              </w:rPr>
            </w:pPr>
          </w:p>
          <w:p>
            <w:pPr>
              <w:rPr>
                <w:lang w:eastAsia="en-GB"/>
              </w:rPr>
            </w:pPr>
            <w:r>
              <w:rPr>
                <w:lang w:eastAsia="en-GB"/>
              </w:rPr>
              <w:t>Cost from school led tutoring</w:t>
            </w:r>
          </w:p>
        </w:tc>
        <w:tc>
          <w:tcPr>
            <w:tcW w:w="3685" w:type="dxa"/>
            <w:gridSpan w:val="6"/>
            <w:tcBorders>
              <w:right w:val="single" w:sz="4" w:space="0" w:color="000000"/>
            </w:tcBorders>
            <w:shd w:val="clear" w:color="auto" w:fill="auto"/>
          </w:tcPr>
          <w:p>
            <w:pPr>
              <w:pStyle w:val="TableRowCentered"/>
              <w:ind w:left="0"/>
              <w:jc w:val="left"/>
              <w:rPr>
                <w:b/>
                <w:szCs w:val="24"/>
              </w:rPr>
            </w:pPr>
            <w:r>
              <w:rPr>
                <w:b/>
                <w:szCs w:val="24"/>
              </w:rPr>
              <w:t xml:space="preserve">A(1) B(2) </w:t>
            </w:r>
          </w:p>
          <w:p>
            <w:pPr>
              <w:pStyle w:val="TableRowCentered"/>
              <w:ind w:left="0"/>
              <w:jc w:val="left"/>
              <w:rPr>
                <w:b/>
                <w:sz w:val="20"/>
              </w:rPr>
            </w:pPr>
          </w:p>
        </w:tc>
        <w:tc>
          <w:tcPr>
            <w:tcW w:w="3827" w:type="dxa"/>
            <w:gridSpan w:val="5"/>
            <w:tcBorders>
              <w:right w:val="single" w:sz="4" w:space="0" w:color="000000"/>
            </w:tcBorders>
            <w:shd w:val="clear" w:color="auto" w:fill="auto"/>
          </w:tcPr>
          <w:p>
            <w:pPr>
              <w:pStyle w:val="TableRowCentered"/>
              <w:ind w:left="0"/>
              <w:jc w:val="left"/>
              <w:rPr>
                <w:sz w:val="20"/>
              </w:rPr>
            </w:pPr>
            <w:r>
              <w:rPr>
                <w:szCs w:val="24"/>
              </w:rPr>
              <w:t>‘</w:t>
            </w:r>
            <w:r>
              <w:rPr>
                <w:sz w:val="20"/>
              </w:rPr>
              <w:t>On average, one to one tuition is very effective at improving pupil outcomes. One to one tuition might be an effective strategy for providing targeted support for pupils that are identified as having low prior attainment or are struggling in particular areas.’</w:t>
            </w:r>
          </w:p>
          <w:p>
            <w:pPr>
              <w:pStyle w:val="TableRowCentered"/>
              <w:rPr>
                <w:sz w:val="20"/>
              </w:rPr>
            </w:pPr>
          </w:p>
          <w:p>
            <w:pPr>
              <w:pStyle w:val="TableRowCentered"/>
              <w:ind w:left="0"/>
              <w:jc w:val="left"/>
              <w:rPr>
                <w:b/>
                <w:szCs w:val="24"/>
              </w:rPr>
            </w:pPr>
            <w:r>
              <w:rPr>
                <w:sz w:val="20"/>
              </w:rPr>
              <w:t>‘Tuition is more likely to make an impact if it is additional to and explicitly linked with normal lessons’(EEF Teacher Tool Kit)</w:t>
            </w:r>
          </w:p>
        </w:tc>
        <w:tc>
          <w:tcPr>
            <w:tcW w:w="2127" w:type="dxa"/>
            <w:tcBorders>
              <w:right w:val="single" w:sz="4" w:space="0" w:color="000000"/>
            </w:tcBorders>
            <w:shd w:val="clear" w:color="auto" w:fill="auto"/>
          </w:tcPr>
          <w:p>
            <w:pPr>
              <w:pStyle w:val="TableRowCentered"/>
              <w:ind w:left="0"/>
              <w:jc w:val="left"/>
              <w:rPr>
                <w:sz w:val="20"/>
              </w:rPr>
            </w:pPr>
            <w:r>
              <w:rPr>
                <w:sz w:val="20"/>
              </w:rPr>
              <w:t>QA of lessons by HOF in maths and English.</w:t>
            </w:r>
          </w:p>
          <w:p>
            <w:pPr>
              <w:pStyle w:val="TableRowCentered"/>
              <w:ind w:left="0"/>
              <w:jc w:val="left"/>
              <w:rPr>
                <w:sz w:val="20"/>
              </w:rPr>
            </w:pPr>
          </w:p>
          <w:p>
            <w:pPr>
              <w:pStyle w:val="TableRowCentered"/>
              <w:ind w:left="0"/>
              <w:jc w:val="left"/>
              <w:rPr>
                <w:sz w:val="20"/>
              </w:rPr>
            </w:pPr>
            <w:r>
              <w:rPr>
                <w:sz w:val="20"/>
              </w:rPr>
              <w:t>Staff Voice</w:t>
            </w:r>
          </w:p>
          <w:p>
            <w:pPr>
              <w:pStyle w:val="TableRowCentered"/>
              <w:ind w:left="0"/>
              <w:jc w:val="left"/>
              <w:rPr>
                <w:sz w:val="20"/>
              </w:rPr>
            </w:pPr>
            <w:r>
              <w:rPr>
                <w:sz w:val="20"/>
              </w:rPr>
              <w:t>Student Voice</w:t>
            </w:r>
          </w:p>
          <w:p>
            <w:pPr>
              <w:pStyle w:val="TableRowCentered"/>
              <w:ind w:left="0"/>
              <w:jc w:val="left"/>
              <w:rPr>
                <w:sz w:val="20"/>
              </w:rPr>
            </w:pPr>
          </w:p>
        </w:tc>
        <w:tc>
          <w:tcPr>
            <w:tcW w:w="1699" w:type="dxa"/>
            <w:gridSpan w:val="2"/>
            <w:tcBorders>
              <w:right w:val="single" w:sz="4" w:space="0" w:color="000000"/>
            </w:tcBorders>
            <w:shd w:val="clear" w:color="auto" w:fill="auto"/>
          </w:tcPr>
          <w:p>
            <w:pPr>
              <w:pStyle w:val="TableRowCentered"/>
              <w:ind w:left="0"/>
              <w:jc w:val="left"/>
              <w:rPr>
                <w:sz w:val="20"/>
              </w:rPr>
            </w:pPr>
            <w:r>
              <w:rPr>
                <w:sz w:val="20"/>
              </w:rPr>
              <w:t>MTU</w:t>
            </w:r>
          </w:p>
        </w:tc>
        <w:tc>
          <w:tcPr>
            <w:tcW w:w="1561" w:type="dxa"/>
            <w:gridSpan w:val="2"/>
            <w:tcBorders>
              <w:right w:val="single" w:sz="4" w:space="0" w:color="000000"/>
            </w:tcBorders>
            <w:shd w:val="clear" w:color="auto" w:fill="auto"/>
          </w:tcPr>
          <w:p>
            <w:pPr>
              <w:pStyle w:val="TableRowCentered"/>
              <w:ind w:left="0"/>
              <w:jc w:val="left"/>
              <w:rPr>
                <w:sz w:val="20"/>
              </w:rPr>
            </w:pPr>
            <w:r>
              <w:rPr>
                <w:sz w:val="20"/>
              </w:rPr>
              <w:t>Half termly</w:t>
            </w:r>
          </w:p>
        </w:tc>
      </w:tr>
      <w:tr>
        <w:trPr>
          <w:trHeight w:val="58"/>
        </w:trPr>
        <w:tc>
          <w:tcPr>
            <w:tcW w:w="1986" w:type="dxa"/>
            <w:gridSpan w:val="2"/>
            <w:tcBorders>
              <w:right w:val="single" w:sz="4" w:space="0" w:color="000000"/>
            </w:tcBorders>
            <w:shd w:val="clear" w:color="auto" w:fill="auto"/>
          </w:tcPr>
          <w:p>
            <w:pPr>
              <w:pStyle w:val="TableRowCentered"/>
              <w:ind w:left="0"/>
              <w:jc w:val="left"/>
              <w:rPr>
                <w:b/>
                <w:szCs w:val="24"/>
              </w:rPr>
            </w:pPr>
            <w:r>
              <w:rPr>
                <w:rFonts w:cs="Arial"/>
                <w:sz w:val="20"/>
              </w:rPr>
              <w:t>Inclusion faculty used for targeted interventions for those who enter school below the expected standard in terms of numeracy, literacy and speech and language (2x full time HTLA)</w:t>
            </w:r>
          </w:p>
        </w:tc>
        <w:tc>
          <w:tcPr>
            <w:tcW w:w="3685" w:type="dxa"/>
            <w:gridSpan w:val="6"/>
            <w:tcBorders>
              <w:right w:val="single" w:sz="4" w:space="0" w:color="000000"/>
            </w:tcBorders>
            <w:shd w:val="clear" w:color="auto" w:fill="auto"/>
          </w:tcPr>
          <w:p>
            <w:pPr>
              <w:pStyle w:val="TableRowCentered"/>
              <w:ind w:left="0"/>
              <w:jc w:val="left"/>
              <w:rPr>
                <w:b/>
                <w:szCs w:val="24"/>
              </w:rPr>
            </w:pPr>
            <w:r>
              <w:rPr>
                <w:b/>
                <w:szCs w:val="24"/>
              </w:rPr>
              <w:t>A(1) B(2) C(3)</w:t>
            </w:r>
          </w:p>
          <w:p>
            <w:pPr>
              <w:rPr>
                <w:lang w:eastAsia="en-GB"/>
              </w:rPr>
            </w:pPr>
          </w:p>
          <w:p>
            <w:pPr>
              <w:rPr>
                <w:rFonts w:ascii="Arial" w:hAnsi="Arial" w:cs="Arial"/>
                <w:sz w:val="20"/>
                <w:szCs w:val="20"/>
                <w:lang w:eastAsia="en-GB"/>
              </w:rPr>
            </w:pPr>
            <w:r>
              <w:rPr>
                <w:rFonts w:ascii="Arial" w:hAnsi="Arial" w:cs="Arial"/>
                <w:sz w:val="20"/>
                <w:szCs w:val="20"/>
                <w:lang w:eastAsia="en-GB"/>
              </w:rPr>
              <w:t xml:space="preserve"> (Numeracy - Use of success at arithemetic, graded maths.</w:t>
            </w:r>
          </w:p>
          <w:p>
            <w:pPr>
              <w:rPr>
                <w:lang w:eastAsia="en-GB"/>
              </w:rPr>
            </w:pPr>
            <w:r>
              <w:rPr>
                <w:rFonts w:ascii="Arial" w:hAnsi="Arial" w:cs="Arial"/>
                <w:sz w:val="20"/>
                <w:szCs w:val="20"/>
                <w:lang w:eastAsia="en-GB"/>
              </w:rPr>
              <w:t>Literacy – use of wild cats reading scheme, GL assessments, power of reading, CATS, Dyslexic screener, SWST/NFER Nelson, speech and language/I can programme)</w:t>
            </w:r>
          </w:p>
        </w:tc>
        <w:tc>
          <w:tcPr>
            <w:tcW w:w="3827" w:type="dxa"/>
            <w:gridSpan w:val="5"/>
            <w:tcBorders>
              <w:right w:val="single" w:sz="4" w:space="0" w:color="000000"/>
            </w:tcBorders>
            <w:shd w:val="clear" w:color="auto" w:fill="auto"/>
          </w:tcPr>
          <w:p>
            <w:pPr>
              <w:pStyle w:val="TableRowCentered"/>
              <w:ind w:left="0"/>
              <w:jc w:val="left"/>
              <w:rPr>
                <w:sz w:val="20"/>
              </w:rPr>
            </w:pPr>
            <w:r>
              <w:rPr>
                <w:sz w:val="20"/>
              </w:rPr>
              <w:t>4. For one to one tuition led by teaching assistants, interventions are likely to be particularly beneficial when the teaching assistants are experienced, well-trained and supported – for example, delivering a structured intervention (EEF – Teacher toolkit)</w:t>
            </w:r>
          </w:p>
        </w:tc>
        <w:tc>
          <w:tcPr>
            <w:tcW w:w="2127" w:type="dxa"/>
            <w:tcBorders>
              <w:right w:val="single" w:sz="4" w:space="0" w:color="000000"/>
            </w:tcBorders>
            <w:shd w:val="clear" w:color="auto" w:fill="auto"/>
          </w:tcPr>
          <w:p>
            <w:pPr>
              <w:pStyle w:val="TableRowCentered"/>
              <w:ind w:left="0"/>
              <w:jc w:val="left"/>
              <w:rPr>
                <w:sz w:val="20"/>
              </w:rPr>
            </w:pPr>
            <w:r>
              <w:rPr>
                <w:sz w:val="20"/>
              </w:rPr>
              <w:t>Student timetable</w:t>
            </w:r>
          </w:p>
          <w:p>
            <w:pPr>
              <w:pStyle w:val="TableRowCentered"/>
              <w:ind w:left="0"/>
              <w:jc w:val="left"/>
              <w:rPr>
                <w:sz w:val="20"/>
              </w:rPr>
            </w:pPr>
          </w:p>
          <w:p>
            <w:pPr>
              <w:pStyle w:val="TableRowCentered"/>
              <w:ind w:left="0"/>
              <w:jc w:val="left"/>
              <w:rPr>
                <w:sz w:val="20"/>
              </w:rPr>
            </w:pPr>
            <w:r>
              <w:rPr>
                <w:sz w:val="20"/>
              </w:rPr>
              <w:t xml:space="preserve">Reading age </w:t>
            </w:r>
          </w:p>
          <w:p>
            <w:pPr>
              <w:pStyle w:val="TableRowCentered"/>
              <w:ind w:left="0"/>
              <w:jc w:val="left"/>
              <w:rPr>
                <w:sz w:val="20"/>
              </w:rPr>
            </w:pPr>
            <w:r>
              <w:rPr>
                <w:sz w:val="20"/>
              </w:rPr>
              <w:t>And numeracy age</w:t>
            </w:r>
          </w:p>
          <w:p>
            <w:pPr>
              <w:pStyle w:val="TableRowCentered"/>
              <w:ind w:left="0"/>
              <w:jc w:val="left"/>
              <w:rPr>
                <w:sz w:val="20"/>
              </w:rPr>
            </w:pPr>
          </w:p>
          <w:p>
            <w:pPr>
              <w:pStyle w:val="TableRowCentered"/>
              <w:ind w:left="0"/>
              <w:jc w:val="left"/>
              <w:rPr>
                <w:sz w:val="20"/>
              </w:rPr>
            </w:pPr>
            <w:r>
              <w:rPr>
                <w:sz w:val="20"/>
              </w:rPr>
              <w:t>Monitoring by inclusion faculty</w:t>
            </w:r>
          </w:p>
          <w:p>
            <w:pPr>
              <w:pStyle w:val="TableRowCentered"/>
              <w:ind w:left="0"/>
              <w:jc w:val="left"/>
              <w:rPr>
                <w:sz w:val="20"/>
              </w:rPr>
            </w:pPr>
            <w:r>
              <w:rPr>
                <w:sz w:val="20"/>
              </w:rPr>
              <w:t>Inclusion tracker</w:t>
            </w:r>
          </w:p>
        </w:tc>
        <w:tc>
          <w:tcPr>
            <w:tcW w:w="1699" w:type="dxa"/>
            <w:gridSpan w:val="2"/>
            <w:tcBorders>
              <w:right w:val="single" w:sz="4" w:space="0" w:color="000000"/>
            </w:tcBorders>
            <w:shd w:val="clear" w:color="auto" w:fill="auto"/>
          </w:tcPr>
          <w:p>
            <w:pPr>
              <w:pStyle w:val="TableRowCentered"/>
              <w:ind w:left="0"/>
              <w:jc w:val="left"/>
              <w:rPr>
                <w:sz w:val="20"/>
              </w:rPr>
            </w:pPr>
            <w:r>
              <w:rPr>
                <w:sz w:val="20"/>
              </w:rPr>
              <w:t>JCA</w:t>
            </w:r>
          </w:p>
        </w:tc>
        <w:tc>
          <w:tcPr>
            <w:tcW w:w="1561" w:type="dxa"/>
            <w:gridSpan w:val="2"/>
            <w:tcBorders>
              <w:right w:val="single" w:sz="4" w:space="0" w:color="000000"/>
            </w:tcBorders>
            <w:shd w:val="clear" w:color="auto" w:fill="auto"/>
          </w:tcPr>
          <w:p>
            <w:pPr>
              <w:pStyle w:val="TableRowCentered"/>
              <w:ind w:left="0"/>
              <w:jc w:val="left"/>
              <w:rPr>
                <w:sz w:val="20"/>
              </w:rPr>
            </w:pPr>
            <w:r>
              <w:rPr>
                <w:sz w:val="20"/>
              </w:rPr>
              <w:t>Half termly</w:t>
            </w:r>
          </w:p>
        </w:tc>
      </w:tr>
      <w:tr>
        <w:trPr>
          <w:trHeight w:val="58"/>
        </w:trPr>
        <w:tc>
          <w:tcPr>
            <w:tcW w:w="1986" w:type="dxa"/>
            <w:gridSpan w:val="2"/>
            <w:tcBorders>
              <w:right w:val="single" w:sz="4" w:space="0" w:color="000000"/>
            </w:tcBorders>
            <w:shd w:val="clear" w:color="auto" w:fill="auto"/>
          </w:tcPr>
          <w:p>
            <w:pPr>
              <w:pStyle w:val="TableRowCentered"/>
              <w:ind w:left="0"/>
              <w:jc w:val="left"/>
              <w:rPr>
                <w:rFonts w:cs="Arial"/>
                <w:sz w:val="20"/>
              </w:rPr>
            </w:pPr>
            <w:r>
              <w:rPr>
                <w:rFonts w:cs="Arial"/>
                <w:iCs/>
                <w:sz w:val="20"/>
              </w:rPr>
              <w:t>Develop provision for students with EAL with DHoF in the SEND faculty to create clear programme of intervention.</w:t>
            </w:r>
          </w:p>
        </w:tc>
        <w:tc>
          <w:tcPr>
            <w:tcW w:w="3685" w:type="dxa"/>
            <w:gridSpan w:val="6"/>
            <w:tcBorders>
              <w:right w:val="single" w:sz="4" w:space="0" w:color="000000"/>
            </w:tcBorders>
            <w:shd w:val="clear" w:color="auto" w:fill="auto"/>
          </w:tcPr>
          <w:p>
            <w:pPr>
              <w:pStyle w:val="TableRowCentered"/>
              <w:ind w:left="0"/>
              <w:jc w:val="left"/>
              <w:rPr>
                <w:b/>
                <w:sz w:val="20"/>
              </w:rPr>
            </w:pPr>
            <w:r>
              <w:rPr>
                <w:b/>
                <w:sz w:val="20"/>
              </w:rPr>
              <w:t>C(3)</w:t>
            </w:r>
          </w:p>
          <w:p>
            <w:pPr>
              <w:pStyle w:val="TableRowCentered"/>
              <w:ind w:left="0"/>
              <w:jc w:val="left"/>
              <w:rPr>
                <w:sz w:val="20"/>
              </w:rPr>
            </w:pPr>
            <w:r>
              <w:rPr>
                <w:sz w:val="20"/>
              </w:rPr>
              <w:t>Students with EAL progress to be tracked individually to ensure they are making progress in line with the capabilities.</w:t>
            </w:r>
          </w:p>
          <w:p>
            <w:pPr>
              <w:pStyle w:val="TableRowCentered"/>
              <w:ind w:left="0"/>
              <w:jc w:val="left"/>
              <w:rPr>
                <w:b/>
                <w:sz w:val="20"/>
              </w:rPr>
            </w:pPr>
            <w:r>
              <w:rPr>
                <w:sz w:val="20"/>
              </w:rPr>
              <w:t xml:space="preserve">Target grades to be reviewed regularly as some students who have </w:t>
            </w:r>
            <w:r>
              <w:rPr>
                <w:sz w:val="20"/>
              </w:rPr>
              <w:lastRenderedPageBreak/>
              <w:t>recently moved to the UK have no KS2 starting points</w:t>
            </w:r>
          </w:p>
        </w:tc>
        <w:tc>
          <w:tcPr>
            <w:tcW w:w="3827" w:type="dxa"/>
            <w:gridSpan w:val="5"/>
            <w:tcBorders>
              <w:right w:val="single" w:sz="4" w:space="0" w:color="000000"/>
            </w:tcBorders>
            <w:shd w:val="clear" w:color="auto" w:fill="auto"/>
          </w:tcPr>
          <w:p>
            <w:pPr>
              <w:pStyle w:val="TableRowCentered"/>
              <w:ind w:left="0"/>
              <w:jc w:val="left"/>
              <w:rPr>
                <w:sz w:val="20"/>
              </w:rPr>
            </w:pPr>
            <w:r>
              <w:rPr>
                <w:rFonts w:cs="Arial"/>
                <w:sz w:val="20"/>
              </w:rPr>
              <w:lastRenderedPageBreak/>
              <w:t>KHS currently have 52 EAL students from 16 different languages. This is increasing each year. Ensure high expectations for EAL students and ensure staff do not lower their expectations in terms of attainment just because of the language barrier.</w:t>
            </w:r>
          </w:p>
        </w:tc>
        <w:tc>
          <w:tcPr>
            <w:tcW w:w="2127" w:type="dxa"/>
            <w:tcBorders>
              <w:right w:val="single" w:sz="4" w:space="0" w:color="000000"/>
            </w:tcBorders>
            <w:shd w:val="clear" w:color="auto" w:fill="auto"/>
          </w:tcPr>
          <w:p>
            <w:pPr>
              <w:pStyle w:val="TableRowCentered"/>
              <w:ind w:left="0"/>
              <w:jc w:val="left"/>
              <w:rPr>
                <w:sz w:val="20"/>
              </w:rPr>
            </w:pPr>
            <w:r>
              <w:rPr>
                <w:sz w:val="20"/>
              </w:rPr>
              <w:t>4 matrix</w:t>
            </w:r>
          </w:p>
          <w:p>
            <w:pPr>
              <w:pStyle w:val="TableRowCentered"/>
              <w:ind w:left="0"/>
              <w:jc w:val="left"/>
              <w:rPr>
                <w:sz w:val="20"/>
              </w:rPr>
            </w:pPr>
          </w:p>
          <w:p>
            <w:pPr>
              <w:pStyle w:val="TableRowCentered"/>
              <w:ind w:left="0"/>
              <w:jc w:val="left"/>
              <w:rPr>
                <w:sz w:val="20"/>
              </w:rPr>
            </w:pPr>
            <w:r>
              <w:rPr>
                <w:sz w:val="20"/>
              </w:rPr>
              <w:t>Governors’ reports</w:t>
            </w:r>
          </w:p>
          <w:p>
            <w:pPr>
              <w:pStyle w:val="TableRowCentered"/>
              <w:ind w:left="0"/>
              <w:jc w:val="left"/>
              <w:rPr>
                <w:rFonts w:cs="Arial"/>
                <w:sz w:val="20"/>
              </w:rPr>
            </w:pPr>
            <w:r>
              <w:rPr>
                <w:rFonts w:cs="Arial"/>
                <w:sz w:val="20"/>
              </w:rPr>
              <w:t>Naldic subscription</w:t>
            </w:r>
          </w:p>
          <w:p>
            <w:pPr>
              <w:pStyle w:val="TableRowCentered"/>
              <w:jc w:val="left"/>
              <w:rPr>
                <w:rFonts w:cs="Arial"/>
                <w:sz w:val="20"/>
              </w:rPr>
            </w:pPr>
            <w:r>
              <w:rPr>
                <w:rFonts w:cs="Arial"/>
                <w:sz w:val="20"/>
              </w:rPr>
              <w:t>Twinkl resources.</w:t>
            </w:r>
          </w:p>
          <w:p>
            <w:pPr>
              <w:pStyle w:val="TableRowCentered"/>
              <w:jc w:val="left"/>
              <w:rPr>
                <w:rFonts w:cs="Arial"/>
                <w:sz w:val="20"/>
              </w:rPr>
            </w:pPr>
          </w:p>
          <w:p>
            <w:pPr>
              <w:pStyle w:val="TableRowCentered"/>
              <w:jc w:val="left"/>
              <w:rPr>
                <w:rFonts w:cs="Arial"/>
                <w:sz w:val="20"/>
              </w:rPr>
            </w:pPr>
            <w:r>
              <w:rPr>
                <w:rFonts w:cs="Arial"/>
                <w:sz w:val="20"/>
              </w:rPr>
              <w:lastRenderedPageBreak/>
              <w:t>Timetabled inclusion sessions.</w:t>
            </w:r>
          </w:p>
          <w:p>
            <w:pPr>
              <w:rPr>
                <w:lang w:eastAsia="en-GB"/>
              </w:rPr>
            </w:pPr>
            <w:r>
              <w:rPr>
                <w:rFonts w:cs="Arial"/>
                <w:sz w:val="20"/>
              </w:rPr>
              <w:t>Tracked individually</w:t>
            </w:r>
          </w:p>
          <w:p>
            <w:pPr>
              <w:rPr>
                <w:lang w:eastAsia="en-GB"/>
              </w:rPr>
            </w:pPr>
          </w:p>
        </w:tc>
        <w:tc>
          <w:tcPr>
            <w:tcW w:w="1699" w:type="dxa"/>
            <w:gridSpan w:val="2"/>
            <w:tcBorders>
              <w:right w:val="single" w:sz="4" w:space="0" w:color="000000"/>
            </w:tcBorders>
            <w:shd w:val="clear" w:color="auto" w:fill="auto"/>
          </w:tcPr>
          <w:p>
            <w:pPr>
              <w:pStyle w:val="TableRowCentered"/>
              <w:ind w:left="0"/>
              <w:jc w:val="left"/>
              <w:rPr>
                <w:sz w:val="20"/>
              </w:rPr>
            </w:pPr>
            <w:r>
              <w:rPr>
                <w:sz w:val="20"/>
              </w:rPr>
              <w:lastRenderedPageBreak/>
              <w:t>RBU</w:t>
            </w:r>
          </w:p>
          <w:p>
            <w:pPr>
              <w:pStyle w:val="TableRowCentered"/>
              <w:ind w:left="0"/>
              <w:jc w:val="left"/>
              <w:rPr>
                <w:sz w:val="20"/>
              </w:rPr>
            </w:pPr>
            <w:r>
              <w:rPr>
                <w:sz w:val="20"/>
              </w:rPr>
              <w:t>MTU</w:t>
            </w:r>
          </w:p>
        </w:tc>
        <w:tc>
          <w:tcPr>
            <w:tcW w:w="1561" w:type="dxa"/>
            <w:gridSpan w:val="2"/>
            <w:tcBorders>
              <w:right w:val="single" w:sz="4" w:space="0" w:color="000000"/>
            </w:tcBorders>
            <w:shd w:val="clear" w:color="auto" w:fill="auto"/>
          </w:tcPr>
          <w:p>
            <w:pPr>
              <w:pStyle w:val="TableRowCentered"/>
              <w:ind w:left="0"/>
              <w:jc w:val="left"/>
              <w:rPr>
                <w:sz w:val="20"/>
              </w:rPr>
            </w:pPr>
            <w:r>
              <w:rPr>
                <w:sz w:val="20"/>
              </w:rPr>
              <w:t>Termly</w:t>
            </w:r>
          </w:p>
        </w:tc>
      </w:tr>
      <w:tr>
        <w:trPr>
          <w:trHeight w:val="58"/>
        </w:trPr>
        <w:tc>
          <w:tcPr>
            <w:tcW w:w="1986" w:type="dxa"/>
            <w:gridSpan w:val="2"/>
            <w:tcBorders>
              <w:right w:val="single" w:sz="4" w:space="0" w:color="000000"/>
            </w:tcBorders>
            <w:shd w:val="clear" w:color="auto" w:fill="auto"/>
          </w:tcPr>
          <w:p>
            <w:pPr>
              <w:pStyle w:val="TableRowCentered"/>
              <w:ind w:left="0"/>
              <w:jc w:val="left"/>
              <w:rPr>
                <w:rFonts w:cs="Arial"/>
                <w:sz w:val="20"/>
              </w:rPr>
            </w:pPr>
            <w:r>
              <w:rPr>
                <w:rFonts w:cs="Arial"/>
                <w:sz w:val="20"/>
              </w:rPr>
              <w:lastRenderedPageBreak/>
              <w:t>Community police officer to provide assemblies with relevant services (bonfire night/mischief night/ topical needs)</w:t>
            </w:r>
          </w:p>
          <w:p>
            <w:pPr>
              <w:pStyle w:val="TableRowCentered"/>
              <w:ind w:left="0"/>
              <w:jc w:val="left"/>
              <w:rPr>
                <w:rFonts w:cs="Arial"/>
                <w:sz w:val="20"/>
              </w:rPr>
            </w:pPr>
          </w:p>
          <w:p>
            <w:pPr>
              <w:pStyle w:val="TableRowCentered"/>
              <w:ind w:left="0"/>
              <w:jc w:val="left"/>
              <w:rPr>
                <w:rFonts w:cs="Arial"/>
                <w:iCs/>
                <w:sz w:val="20"/>
              </w:rPr>
            </w:pPr>
            <w:r>
              <w:rPr>
                <w:rFonts w:cs="Arial"/>
                <w:sz w:val="20"/>
              </w:rPr>
              <w:t>Student and community engagement officer to run initiative for students who are at risk of being involved in anti-social behaviour and therefore at risk of being disengaged in the Kirkby High School life.</w:t>
            </w:r>
          </w:p>
        </w:tc>
        <w:tc>
          <w:tcPr>
            <w:tcW w:w="3685" w:type="dxa"/>
            <w:gridSpan w:val="6"/>
            <w:tcBorders>
              <w:right w:val="single" w:sz="4" w:space="0" w:color="000000"/>
            </w:tcBorders>
            <w:shd w:val="clear" w:color="auto" w:fill="auto"/>
          </w:tcPr>
          <w:p>
            <w:pPr>
              <w:pStyle w:val="TableRowCentered"/>
              <w:ind w:left="0"/>
              <w:jc w:val="left"/>
              <w:rPr>
                <w:b/>
                <w:sz w:val="20"/>
              </w:rPr>
            </w:pPr>
            <w:r>
              <w:rPr>
                <w:b/>
                <w:sz w:val="20"/>
              </w:rPr>
              <w:t>E(5)</w:t>
            </w:r>
          </w:p>
          <w:p>
            <w:pPr>
              <w:pStyle w:val="TableRowCentered"/>
              <w:ind w:left="0"/>
              <w:jc w:val="left"/>
              <w:rPr>
                <w:rFonts w:cs="Arial"/>
                <w:sz w:val="20"/>
              </w:rPr>
            </w:pPr>
            <w:r>
              <w:rPr>
                <w:rFonts w:cs="Arial"/>
                <w:sz w:val="20"/>
              </w:rPr>
              <w:t>Target groups of students use external agencies to work with students tailored to their needs. For example Everton in the community, Merseyside Police.</w:t>
            </w:r>
          </w:p>
          <w:p>
            <w:pPr>
              <w:rPr>
                <w:rFonts w:ascii="Arial" w:hAnsi="Arial" w:cs="Arial"/>
                <w:sz w:val="20"/>
                <w:szCs w:val="20"/>
                <w:lang w:eastAsia="en-GB"/>
              </w:rPr>
            </w:pPr>
          </w:p>
          <w:p>
            <w:pPr>
              <w:rPr>
                <w:rFonts w:ascii="Arial" w:hAnsi="Arial" w:cs="Arial"/>
                <w:sz w:val="20"/>
                <w:szCs w:val="20"/>
                <w:lang w:eastAsia="en-GB"/>
              </w:rPr>
            </w:pPr>
          </w:p>
          <w:p>
            <w:pPr>
              <w:rPr>
                <w:lang w:eastAsia="en-GB"/>
              </w:rPr>
            </w:pPr>
            <w:r>
              <w:rPr>
                <w:rFonts w:ascii="Arial" w:hAnsi="Arial" w:cs="Arial"/>
                <w:sz w:val="20"/>
                <w:szCs w:val="20"/>
                <w:lang w:eastAsia="en-GB"/>
              </w:rPr>
              <w:t>Target group of students show improvements in terms of positive behaviour points and engagement in school.</w:t>
            </w:r>
          </w:p>
          <w:p>
            <w:pPr>
              <w:rPr>
                <w:lang w:eastAsia="en-GB"/>
              </w:rPr>
            </w:pPr>
          </w:p>
          <w:p>
            <w:pPr>
              <w:rPr>
                <w:rFonts w:ascii="Arial" w:hAnsi="Arial" w:cs="Arial"/>
                <w:sz w:val="20"/>
                <w:szCs w:val="20"/>
                <w:lang w:eastAsia="en-GB"/>
              </w:rPr>
            </w:pPr>
          </w:p>
          <w:p>
            <w:pPr>
              <w:rPr>
                <w:lang w:eastAsia="en-GB"/>
              </w:rPr>
            </w:pPr>
            <w:r>
              <w:rPr>
                <w:rFonts w:ascii="Arial" w:hAnsi="Arial" w:cs="Arial"/>
                <w:sz w:val="20"/>
                <w:szCs w:val="20"/>
                <w:lang w:eastAsia="en-GB"/>
              </w:rPr>
              <w:t>Prevent target groups from being excluded</w:t>
            </w:r>
          </w:p>
        </w:tc>
        <w:tc>
          <w:tcPr>
            <w:tcW w:w="3827" w:type="dxa"/>
            <w:gridSpan w:val="5"/>
            <w:tcBorders>
              <w:right w:val="single" w:sz="4" w:space="0" w:color="000000"/>
            </w:tcBorders>
            <w:shd w:val="clear" w:color="auto" w:fill="auto"/>
          </w:tcPr>
          <w:p>
            <w:pPr>
              <w:pStyle w:val="TableRowCentered"/>
              <w:ind w:left="0"/>
              <w:jc w:val="left"/>
              <w:rPr>
                <w:rFonts w:cs="Arial"/>
                <w:sz w:val="20"/>
              </w:rPr>
            </w:pPr>
            <w:r>
              <w:rPr>
                <w:noProof/>
              </w:rPr>
              <w:drawing>
                <wp:inline distT="0" distB="0" distL="0" distR="0">
                  <wp:extent cx="2085109" cy="63633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88703" cy="637428"/>
                          </a:xfrm>
                          <a:prstGeom prst="rect">
                            <a:avLst/>
                          </a:prstGeom>
                        </pic:spPr>
                      </pic:pic>
                    </a:graphicData>
                  </a:graphic>
                </wp:inline>
              </w:drawing>
            </w:r>
          </w:p>
          <w:p>
            <w:pPr>
              <w:rPr>
                <w:lang w:eastAsia="en-GB"/>
              </w:rPr>
            </w:pPr>
          </w:p>
          <w:p>
            <w:pPr>
              <w:rPr>
                <w:lang w:eastAsia="en-GB"/>
              </w:rPr>
            </w:pPr>
            <w:r>
              <w:rPr>
                <w:noProof/>
                <w:lang w:eastAsia="en-GB"/>
              </w:rPr>
              <w:drawing>
                <wp:inline distT="0" distB="0" distL="0" distR="0">
                  <wp:extent cx="1988127" cy="606734"/>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92385" cy="608034"/>
                          </a:xfrm>
                          <a:prstGeom prst="rect">
                            <a:avLst/>
                          </a:prstGeom>
                        </pic:spPr>
                      </pic:pic>
                    </a:graphicData>
                  </a:graphic>
                </wp:inline>
              </w:drawing>
            </w:r>
          </w:p>
          <w:p>
            <w:pPr>
              <w:rPr>
                <w:lang w:eastAsia="en-GB"/>
              </w:rPr>
            </w:pPr>
          </w:p>
          <w:p>
            <w:pPr>
              <w:rPr>
                <w:lang w:eastAsia="en-GB"/>
              </w:rPr>
            </w:pPr>
          </w:p>
          <w:p>
            <w:pPr>
              <w:rPr>
                <w:lang w:eastAsia="en-GB"/>
              </w:rPr>
            </w:pPr>
          </w:p>
          <w:p>
            <w:pPr>
              <w:rPr>
                <w:lang w:eastAsia="en-GB"/>
              </w:rPr>
            </w:pPr>
            <w:r>
              <w:rPr>
                <w:lang w:eastAsia="en-GB"/>
              </w:rPr>
              <w:t>NFER</w:t>
            </w:r>
          </w:p>
        </w:tc>
        <w:tc>
          <w:tcPr>
            <w:tcW w:w="2127" w:type="dxa"/>
            <w:tcBorders>
              <w:right w:val="single" w:sz="4" w:space="0" w:color="000000"/>
            </w:tcBorders>
            <w:shd w:val="clear" w:color="auto" w:fill="auto"/>
          </w:tcPr>
          <w:p>
            <w:pPr>
              <w:pStyle w:val="TableRowCentered"/>
              <w:ind w:left="0"/>
              <w:jc w:val="left"/>
              <w:rPr>
                <w:sz w:val="20"/>
              </w:rPr>
            </w:pPr>
            <w:r>
              <w:rPr>
                <w:sz w:val="20"/>
              </w:rPr>
              <w:t>Classcharts behaviour points</w:t>
            </w:r>
          </w:p>
          <w:p>
            <w:pPr>
              <w:pStyle w:val="TableRowCentered"/>
              <w:ind w:left="0"/>
              <w:jc w:val="left"/>
              <w:rPr>
                <w:sz w:val="20"/>
              </w:rPr>
            </w:pPr>
          </w:p>
          <w:p>
            <w:pPr>
              <w:pStyle w:val="TableRowCentered"/>
              <w:ind w:left="0"/>
              <w:jc w:val="left"/>
              <w:rPr>
                <w:sz w:val="20"/>
              </w:rPr>
            </w:pPr>
            <w:r>
              <w:rPr>
                <w:sz w:val="20"/>
              </w:rPr>
              <w:t>Positive reports from the community</w:t>
            </w:r>
          </w:p>
        </w:tc>
        <w:tc>
          <w:tcPr>
            <w:tcW w:w="1699" w:type="dxa"/>
            <w:gridSpan w:val="2"/>
            <w:tcBorders>
              <w:right w:val="single" w:sz="4" w:space="0" w:color="000000"/>
            </w:tcBorders>
            <w:shd w:val="clear" w:color="auto" w:fill="auto"/>
          </w:tcPr>
          <w:p>
            <w:pPr>
              <w:pStyle w:val="TableRowCentered"/>
              <w:ind w:left="0"/>
              <w:jc w:val="left"/>
              <w:rPr>
                <w:sz w:val="20"/>
              </w:rPr>
            </w:pPr>
            <w:r>
              <w:rPr>
                <w:sz w:val="20"/>
              </w:rPr>
              <w:t>TBA/PCJ</w:t>
            </w:r>
          </w:p>
        </w:tc>
        <w:tc>
          <w:tcPr>
            <w:tcW w:w="1561" w:type="dxa"/>
            <w:gridSpan w:val="2"/>
            <w:tcBorders>
              <w:right w:val="single" w:sz="4" w:space="0" w:color="000000"/>
            </w:tcBorders>
            <w:shd w:val="clear" w:color="auto" w:fill="auto"/>
          </w:tcPr>
          <w:p>
            <w:pPr>
              <w:pStyle w:val="TableRowCentered"/>
              <w:ind w:left="0"/>
              <w:jc w:val="left"/>
              <w:rPr>
                <w:sz w:val="20"/>
              </w:rPr>
            </w:pPr>
            <w:r>
              <w:rPr>
                <w:sz w:val="20"/>
              </w:rPr>
              <w:t>Half termly monitoring of pointd</w:t>
            </w:r>
          </w:p>
        </w:tc>
      </w:tr>
      <w:tr>
        <w:trPr>
          <w:trHeight w:val="58"/>
        </w:trPr>
        <w:tc>
          <w:tcPr>
            <w:tcW w:w="11625" w:type="dxa"/>
            <w:gridSpan w:val="14"/>
            <w:tcBorders>
              <w:right w:val="single" w:sz="4" w:space="0" w:color="000000"/>
            </w:tcBorders>
            <w:shd w:val="clear" w:color="auto" w:fill="DEEAF6" w:themeFill="accent1" w:themeFillTint="33"/>
          </w:tcPr>
          <w:p>
            <w:pPr>
              <w:pStyle w:val="TableRowCentered"/>
              <w:ind w:left="0"/>
              <w:jc w:val="right"/>
              <w:rPr>
                <w:b/>
                <w:szCs w:val="24"/>
              </w:rPr>
            </w:pPr>
            <w:r>
              <w:rPr>
                <w:b/>
              </w:rPr>
              <w:t>Total budgeted cost</w:t>
            </w:r>
          </w:p>
        </w:tc>
        <w:tc>
          <w:tcPr>
            <w:tcW w:w="3260" w:type="dxa"/>
            <w:gridSpan w:val="4"/>
            <w:tcBorders>
              <w:right w:val="single" w:sz="4" w:space="0" w:color="000000"/>
            </w:tcBorders>
            <w:shd w:val="clear" w:color="auto" w:fill="auto"/>
          </w:tcPr>
          <w:p>
            <w:pPr>
              <w:pStyle w:val="TableRowCentered"/>
              <w:ind w:left="0"/>
              <w:jc w:val="left"/>
              <w:rPr>
                <w:b/>
                <w:szCs w:val="24"/>
              </w:rPr>
            </w:pPr>
            <w:r>
              <w:rPr>
                <w:b/>
                <w:szCs w:val="24"/>
              </w:rPr>
              <w:t>£114515</w:t>
            </w:r>
          </w:p>
        </w:tc>
      </w:tr>
      <w:tr>
        <w:trPr>
          <w:trHeight w:val="58"/>
        </w:trPr>
        <w:tc>
          <w:tcPr>
            <w:tcW w:w="14885" w:type="dxa"/>
            <w:gridSpan w:val="18"/>
            <w:tcBorders>
              <w:right w:val="single" w:sz="4" w:space="0" w:color="000000"/>
            </w:tcBorders>
            <w:shd w:val="clear" w:color="auto" w:fill="DEEAF6" w:themeFill="accent1" w:themeFillTint="33"/>
          </w:tcPr>
          <w:p>
            <w:pPr>
              <w:pStyle w:val="TableRowCentered"/>
              <w:ind w:left="0"/>
              <w:jc w:val="left"/>
              <w:rPr>
                <w:b/>
                <w:szCs w:val="24"/>
              </w:rPr>
            </w:pPr>
            <w:r>
              <w:rPr>
                <w:b/>
                <w:szCs w:val="24"/>
              </w:rPr>
              <w:t>iii.  Other approaches</w:t>
            </w:r>
          </w:p>
        </w:tc>
      </w:tr>
      <w:tr>
        <w:trPr>
          <w:trHeight w:val="58"/>
        </w:trPr>
        <w:tc>
          <w:tcPr>
            <w:tcW w:w="1986" w:type="dxa"/>
            <w:gridSpan w:val="2"/>
          </w:tcPr>
          <w:p>
            <w:pPr>
              <w:pStyle w:val="TableParagraph"/>
              <w:spacing w:before="55"/>
              <w:ind w:left="102"/>
              <w:rPr>
                <w:b/>
                <w:sz w:val="24"/>
              </w:rPr>
            </w:pPr>
            <w:r>
              <w:rPr>
                <w:b/>
                <w:color w:val="0D0D0D"/>
                <w:sz w:val="24"/>
              </w:rPr>
              <w:t>Action</w:t>
            </w:r>
          </w:p>
        </w:tc>
        <w:tc>
          <w:tcPr>
            <w:tcW w:w="3685" w:type="dxa"/>
            <w:gridSpan w:val="6"/>
          </w:tcPr>
          <w:p>
            <w:pPr>
              <w:pStyle w:val="TableParagraph"/>
              <w:spacing w:before="55"/>
              <w:ind w:left="170"/>
              <w:rPr>
                <w:b/>
                <w:color w:val="0D0D0D"/>
                <w:sz w:val="24"/>
              </w:rPr>
            </w:pPr>
            <w:r>
              <w:rPr>
                <w:b/>
                <w:color w:val="0D0D0D"/>
                <w:sz w:val="24"/>
              </w:rPr>
              <w:t>Intended outcome</w:t>
            </w:r>
          </w:p>
          <w:p>
            <w:pPr>
              <w:pStyle w:val="TableParagraph"/>
              <w:spacing w:before="55"/>
              <w:ind w:left="170"/>
              <w:rPr>
                <w:b/>
                <w:sz w:val="24"/>
              </w:rPr>
            </w:pPr>
            <w:r>
              <w:rPr>
                <w:b/>
                <w:color w:val="0D0D0D"/>
                <w:sz w:val="24"/>
              </w:rPr>
              <w:t>(Letters refer to overall intended outcomes in section 4)</w:t>
            </w:r>
          </w:p>
        </w:tc>
        <w:tc>
          <w:tcPr>
            <w:tcW w:w="3827" w:type="dxa"/>
            <w:gridSpan w:val="5"/>
          </w:tcPr>
          <w:p>
            <w:pPr>
              <w:pStyle w:val="TableParagraph"/>
              <w:spacing w:before="55" w:line="288" w:lineRule="auto"/>
              <w:ind w:left="103" w:right="374"/>
              <w:rPr>
                <w:b/>
                <w:sz w:val="24"/>
              </w:rPr>
            </w:pPr>
            <w:r>
              <w:rPr>
                <w:b/>
                <w:color w:val="0D0D0D"/>
                <w:sz w:val="24"/>
              </w:rPr>
              <w:t>What is the evidence and rationale for this choice?</w:t>
            </w:r>
          </w:p>
        </w:tc>
        <w:tc>
          <w:tcPr>
            <w:tcW w:w="2127" w:type="dxa"/>
          </w:tcPr>
          <w:p>
            <w:pPr>
              <w:pStyle w:val="TableParagraph"/>
              <w:spacing w:before="55" w:line="288" w:lineRule="auto"/>
              <w:ind w:left="102" w:right="199"/>
              <w:rPr>
                <w:b/>
                <w:sz w:val="24"/>
              </w:rPr>
            </w:pPr>
            <w:r>
              <w:rPr>
                <w:b/>
                <w:color w:val="0D0D0D"/>
                <w:sz w:val="24"/>
              </w:rPr>
              <w:t>How will you ensure it is implemented well?</w:t>
            </w:r>
          </w:p>
        </w:tc>
        <w:tc>
          <w:tcPr>
            <w:tcW w:w="1699" w:type="dxa"/>
            <w:gridSpan w:val="2"/>
          </w:tcPr>
          <w:p>
            <w:pPr>
              <w:pStyle w:val="TableParagraph"/>
              <w:spacing w:before="55"/>
              <w:ind w:left="102"/>
              <w:rPr>
                <w:b/>
                <w:sz w:val="24"/>
              </w:rPr>
            </w:pPr>
            <w:r>
              <w:rPr>
                <w:b/>
                <w:color w:val="0D0D0D"/>
                <w:sz w:val="24"/>
              </w:rPr>
              <w:t>Staff lead</w:t>
            </w:r>
          </w:p>
        </w:tc>
        <w:tc>
          <w:tcPr>
            <w:tcW w:w="1561" w:type="dxa"/>
            <w:gridSpan w:val="2"/>
          </w:tcPr>
          <w:p>
            <w:pPr>
              <w:pStyle w:val="TableParagraph"/>
              <w:spacing w:before="55" w:line="288" w:lineRule="auto"/>
              <w:ind w:left="102"/>
              <w:rPr>
                <w:b/>
                <w:sz w:val="24"/>
              </w:rPr>
            </w:pPr>
            <w:r>
              <w:rPr>
                <w:b/>
                <w:color w:val="0D0D0D"/>
                <w:sz w:val="24"/>
              </w:rPr>
              <w:t>When will you review implementation?</w:t>
            </w:r>
          </w:p>
        </w:tc>
      </w:tr>
      <w:tr>
        <w:trPr>
          <w:trHeight w:val="58"/>
        </w:trPr>
        <w:tc>
          <w:tcPr>
            <w:tcW w:w="1986" w:type="dxa"/>
            <w:gridSpan w:val="2"/>
            <w:tcBorders>
              <w:right w:val="single" w:sz="4" w:space="0" w:color="000000"/>
            </w:tcBorders>
            <w:shd w:val="clear" w:color="auto" w:fill="auto"/>
          </w:tcPr>
          <w:p>
            <w:pPr>
              <w:pStyle w:val="TableRowCentered"/>
              <w:ind w:left="0"/>
              <w:jc w:val="left"/>
              <w:rPr>
                <w:sz w:val="20"/>
              </w:rPr>
            </w:pPr>
            <w:r>
              <w:rPr>
                <w:sz w:val="20"/>
              </w:rPr>
              <w:lastRenderedPageBreak/>
              <w:t>Transition induction programme to ensure students have successful induction after limited face-to-face transition events due to lockdown.</w:t>
            </w:r>
          </w:p>
        </w:tc>
        <w:tc>
          <w:tcPr>
            <w:tcW w:w="3685" w:type="dxa"/>
            <w:gridSpan w:val="6"/>
            <w:tcBorders>
              <w:right w:val="single" w:sz="4" w:space="0" w:color="000000"/>
            </w:tcBorders>
            <w:shd w:val="clear" w:color="auto" w:fill="auto"/>
          </w:tcPr>
          <w:p>
            <w:pPr>
              <w:pStyle w:val="TableRowCentered"/>
              <w:ind w:left="0"/>
              <w:jc w:val="left"/>
              <w:rPr>
                <w:rFonts w:cs="Arial"/>
                <w:b/>
                <w:sz w:val="20"/>
              </w:rPr>
            </w:pPr>
            <w:r>
              <w:rPr>
                <w:rFonts w:cs="Arial"/>
                <w:b/>
                <w:sz w:val="20"/>
              </w:rPr>
              <w:t>E(5) C(3)</w:t>
            </w:r>
          </w:p>
          <w:p>
            <w:pPr>
              <w:pStyle w:val="TableRowCentered"/>
              <w:ind w:left="0"/>
              <w:jc w:val="left"/>
              <w:rPr>
                <w:rFonts w:cs="Arial"/>
                <w:sz w:val="20"/>
              </w:rPr>
            </w:pPr>
            <w:r>
              <w:rPr>
                <w:rFonts w:cs="Arial"/>
                <w:sz w:val="20"/>
              </w:rPr>
              <w:t>Year 7 students feel safe and secure in their transition to Kirkby high school</w:t>
            </w:r>
          </w:p>
          <w:p>
            <w:pPr>
              <w:rPr>
                <w:rFonts w:ascii="Arial" w:hAnsi="Arial" w:cs="Arial"/>
                <w:sz w:val="20"/>
                <w:szCs w:val="20"/>
                <w:lang w:eastAsia="en-GB"/>
              </w:rPr>
            </w:pPr>
          </w:p>
          <w:p>
            <w:pPr>
              <w:rPr>
                <w:rFonts w:ascii="Arial" w:hAnsi="Arial" w:cs="Arial"/>
                <w:sz w:val="20"/>
                <w:szCs w:val="20"/>
                <w:lang w:eastAsia="en-GB"/>
              </w:rPr>
            </w:pPr>
          </w:p>
          <w:p>
            <w:pPr>
              <w:rPr>
                <w:rFonts w:ascii="Arial" w:hAnsi="Arial" w:cs="Arial"/>
                <w:sz w:val="20"/>
                <w:szCs w:val="20"/>
                <w:lang w:eastAsia="en-GB"/>
              </w:rPr>
            </w:pPr>
            <w:r>
              <w:rPr>
                <w:rFonts w:ascii="Arial" w:hAnsi="Arial" w:cs="Arial"/>
                <w:sz w:val="20"/>
                <w:szCs w:val="20"/>
                <w:lang w:eastAsia="en-GB"/>
              </w:rPr>
              <w:t>Y7 spend a day on Lord Derby Estate completing team building activities with key staff and their peers.</w:t>
            </w:r>
          </w:p>
          <w:p>
            <w:pPr>
              <w:rPr>
                <w:rFonts w:ascii="Arial" w:hAnsi="Arial" w:cs="Arial"/>
                <w:sz w:val="20"/>
                <w:szCs w:val="20"/>
                <w:lang w:eastAsia="en-GB"/>
              </w:rPr>
            </w:pPr>
          </w:p>
          <w:p>
            <w:pPr>
              <w:rPr>
                <w:lang w:eastAsia="en-GB"/>
              </w:rPr>
            </w:pPr>
            <w:r>
              <w:rPr>
                <w:rFonts w:ascii="Arial" w:hAnsi="Arial" w:cs="Arial"/>
                <w:sz w:val="20"/>
                <w:szCs w:val="20"/>
                <w:lang w:eastAsia="en-GB"/>
              </w:rPr>
              <w:t>This followed with an extra day of induction</w:t>
            </w:r>
          </w:p>
          <w:p>
            <w:pPr>
              <w:rPr>
                <w:lang w:eastAsia="en-GB"/>
              </w:rPr>
            </w:pPr>
          </w:p>
          <w:p>
            <w:pPr>
              <w:pStyle w:val="TableRow"/>
              <w:rPr>
                <w:rFonts w:cs="Arial"/>
                <w:i/>
                <w:sz w:val="20"/>
                <w:szCs w:val="20"/>
              </w:rPr>
            </w:pPr>
          </w:p>
          <w:p>
            <w:pPr>
              <w:pStyle w:val="TableRow"/>
              <w:rPr>
                <w:rFonts w:cs="Arial"/>
                <w:i/>
                <w:sz w:val="20"/>
                <w:szCs w:val="20"/>
              </w:rPr>
            </w:pPr>
          </w:p>
          <w:p>
            <w:pPr>
              <w:pStyle w:val="TableRow"/>
              <w:rPr>
                <w:rFonts w:cs="Arial"/>
                <w:i/>
                <w:sz w:val="20"/>
                <w:szCs w:val="20"/>
              </w:rPr>
            </w:pPr>
          </w:p>
          <w:p>
            <w:pPr>
              <w:pStyle w:val="TableRow"/>
              <w:rPr>
                <w:rFonts w:cs="Arial"/>
                <w:i/>
                <w:sz w:val="20"/>
                <w:szCs w:val="20"/>
              </w:rPr>
            </w:pPr>
          </w:p>
          <w:p>
            <w:pPr>
              <w:pStyle w:val="TableRow"/>
              <w:rPr>
                <w:rFonts w:cs="Arial"/>
                <w:i/>
                <w:sz w:val="20"/>
                <w:szCs w:val="20"/>
              </w:rPr>
            </w:pPr>
          </w:p>
          <w:p>
            <w:pPr>
              <w:pStyle w:val="TableRow"/>
              <w:rPr>
                <w:rFonts w:cs="Arial"/>
                <w:i/>
                <w:sz w:val="20"/>
                <w:szCs w:val="20"/>
              </w:rPr>
            </w:pPr>
          </w:p>
          <w:p>
            <w:pPr>
              <w:pStyle w:val="TableRow"/>
              <w:rPr>
                <w:rFonts w:cs="Arial"/>
                <w:i/>
                <w:sz w:val="20"/>
                <w:szCs w:val="20"/>
              </w:rPr>
            </w:pPr>
          </w:p>
          <w:p>
            <w:pPr>
              <w:pStyle w:val="TableRow"/>
              <w:rPr>
                <w:rFonts w:cs="Arial"/>
                <w:i/>
                <w:sz w:val="20"/>
                <w:szCs w:val="20"/>
              </w:rPr>
            </w:pPr>
          </w:p>
          <w:p>
            <w:pPr>
              <w:pStyle w:val="TableRow"/>
              <w:rPr>
                <w:rFonts w:cs="Arial"/>
                <w:i/>
                <w:sz w:val="20"/>
                <w:szCs w:val="20"/>
              </w:rPr>
            </w:pPr>
            <w:r>
              <w:rPr>
                <w:rFonts w:cs="Arial"/>
                <w:i/>
                <w:sz w:val="20"/>
                <w:szCs w:val="20"/>
              </w:rPr>
              <w:t>Use summer school to ensure students who are in y7 or y6 have an opportunity to experience numeracy and literacy at KHS</w:t>
            </w:r>
          </w:p>
          <w:p>
            <w:pPr>
              <w:rPr>
                <w:lang w:eastAsia="en-GB"/>
              </w:rPr>
            </w:pPr>
          </w:p>
        </w:tc>
        <w:tc>
          <w:tcPr>
            <w:tcW w:w="3827" w:type="dxa"/>
            <w:gridSpan w:val="5"/>
            <w:tcBorders>
              <w:right w:val="single" w:sz="4" w:space="0" w:color="000000"/>
            </w:tcBorders>
            <w:shd w:val="clear" w:color="auto" w:fill="auto"/>
          </w:tcPr>
          <w:p>
            <w:pPr>
              <w:pStyle w:val="TableRowCentered"/>
              <w:ind w:left="0"/>
              <w:jc w:val="left"/>
              <w:rPr>
                <w:sz w:val="20"/>
              </w:rPr>
            </w:pPr>
            <w:r>
              <w:rPr>
                <w:sz w:val="20"/>
              </w:rPr>
              <w:t>Ofsted ‘ The Wasted Years’ (2015). A survey to get an accurate picture of whether Key Stage 3 is providing pupils with sufficient breadth and challenge, and helping them to make the best possible start to their secondary education. ‘The importance of a good start to a pupil’s secondary school education cannot be overemphasised. Leaders of successful schools set the right culture for learning that is embraced by their pupils from the outset. They ensure that pupils are well aware of their school’s high expectations for behaviour and conduct, and they have a clear understanding of pupils’ achievements in primary school and build on them from day one. These leaders ensure that their schools embed the learning habits that will stand their pupils in good stead for their future academic studies’.</w:t>
            </w:r>
          </w:p>
          <w:p>
            <w:pPr>
              <w:pStyle w:val="TableRowCentered"/>
              <w:ind w:left="0"/>
              <w:jc w:val="left"/>
              <w:rPr>
                <w:sz w:val="20"/>
              </w:rPr>
            </w:pPr>
          </w:p>
          <w:p>
            <w:pPr>
              <w:pStyle w:val="TableRowCentered"/>
              <w:jc w:val="left"/>
              <w:rPr>
                <w:rFonts w:cs="Arial"/>
                <w:sz w:val="20"/>
              </w:rPr>
            </w:pPr>
            <w:r>
              <w:rPr>
                <w:rFonts w:cs="Arial"/>
                <w:sz w:val="20"/>
              </w:rPr>
              <w:t>Timetable – Ran by 2 SLT and teachers.</w:t>
            </w:r>
          </w:p>
          <w:p>
            <w:pPr>
              <w:pStyle w:val="TableRowCentered"/>
              <w:ind w:left="0"/>
              <w:jc w:val="left"/>
              <w:rPr>
                <w:b/>
                <w:sz w:val="20"/>
              </w:rPr>
            </w:pPr>
            <w:r>
              <w:rPr>
                <w:rFonts w:cs="Arial"/>
                <w:sz w:val="20"/>
              </w:rPr>
              <w:t>Although the EEF Tool kit suggest that this has low impact in terms of academic progress, we felt this was necessary to help a smooth transition when new year 7 students have had less opportunities to visit their secondary school</w:t>
            </w:r>
          </w:p>
        </w:tc>
        <w:tc>
          <w:tcPr>
            <w:tcW w:w="2127" w:type="dxa"/>
            <w:tcBorders>
              <w:right w:val="single" w:sz="4" w:space="0" w:color="000000"/>
            </w:tcBorders>
            <w:shd w:val="clear" w:color="auto" w:fill="auto"/>
          </w:tcPr>
          <w:p>
            <w:pPr>
              <w:pStyle w:val="TableRowCentered"/>
              <w:ind w:left="0"/>
              <w:jc w:val="left"/>
              <w:rPr>
                <w:sz w:val="20"/>
              </w:rPr>
            </w:pPr>
            <w:r>
              <w:rPr>
                <w:sz w:val="20"/>
              </w:rPr>
              <w:t>Student voice</w:t>
            </w:r>
          </w:p>
          <w:p>
            <w:pPr>
              <w:pStyle w:val="TableRowCentered"/>
              <w:ind w:left="0"/>
              <w:jc w:val="left"/>
              <w:rPr>
                <w:sz w:val="20"/>
              </w:rPr>
            </w:pPr>
          </w:p>
          <w:p>
            <w:pPr>
              <w:pStyle w:val="TableRowCentered"/>
              <w:ind w:left="0"/>
              <w:jc w:val="left"/>
              <w:rPr>
                <w:sz w:val="20"/>
              </w:rPr>
            </w:pPr>
            <w:r>
              <w:rPr>
                <w:sz w:val="20"/>
              </w:rPr>
              <w:t>Staff voice</w:t>
            </w:r>
          </w:p>
          <w:p>
            <w:pPr>
              <w:pStyle w:val="TableRowCentered"/>
              <w:ind w:left="0"/>
              <w:jc w:val="left"/>
              <w:rPr>
                <w:sz w:val="20"/>
              </w:rPr>
            </w:pPr>
          </w:p>
          <w:p>
            <w:pPr>
              <w:pStyle w:val="TableRowCentered"/>
              <w:ind w:left="0"/>
              <w:jc w:val="left"/>
              <w:rPr>
                <w:sz w:val="20"/>
              </w:rPr>
            </w:pPr>
            <w:r>
              <w:rPr>
                <w:sz w:val="20"/>
              </w:rPr>
              <w:t>Planned with HOY and mentor.</w:t>
            </w:r>
          </w:p>
          <w:p>
            <w:pPr>
              <w:pStyle w:val="TableRowCentered"/>
              <w:ind w:left="0"/>
              <w:jc w:val="left"/>
              <w:rPr>
                <w:sz w:val="20"/>
              </w:rPr>
            </w:pPr>
          </w:p>
          <w:p>
            <w:pPr>
              <w:pStyle w:val="TableRowCentered"/>
              <w:ind w:left="0"/>
              <w:jc w:val="left"/>
              <w:rPr>
                <w:sz w:val="20"/>
              </w:rPr>
            </w:pPr>
            <w:r>
              <w:rPr>
                <w:sz w:val="20"/>
              </w:rPr>
              <w:t>Learn lessons from previous year induction (See section 5)</w:t>
            </w:r>
          </w:p>
          <w:p>
            <w:pPr>
              <w:pStyle w:val="TableRowCentered"/>
              <w:ind w:left="0"/>
              <w:jc w:val="left"/>
              <w:rPr>
                <w:sz w:val="20"/>
              </w:rPr>
            </w:pPr>
          </w:p>
          <w:p>
            <w:pPr>
              <w:pStyle w:val="TableRowCentered"/>
              <w:ind w:left="0"/>
              <w:jc w:val="left"/>
              <w:rPr>
                <w:sz w:val="20"/>
              </w:rPr>
            </w:pPr>
          </w:p>
          <w:p>
            <w:pPr>
              <w:pStyle w:val="TableRowCentered"/>
              <w:ind w:left="0"/>
              <w:jc w:val="left"/>
              <w:rPr>
                <w:sz w:val="20"/>
              </w:rPr>
            </w:pPr>
          </w:p>
          <w:p>
            <w:pPr>
              <w:pStyle w:val="TableRowCentered"/>
              <w:ind w:left="0"/>
              <w:jc w:val="left"/>
              <w:rPr>
                <w:sz w:val="20"/>
              </w:rPr>
            </w:pPr>
          </w:p>
          <w:p>
            <w:pPr>
              <w:pStyle w:val="TableRowCentered"/>
              <w:ind w:left="0"/>
              <w:jc w:val="left"/>
              <w:rPr>
                <w:sz w:val="20"/>
              </w:rPr>
            </w:pPr>
          </w:p>
          <w:p>
            <w:pPr>
              <w:pStyle w:val="TableRowCentered"/>
              <w:ind w:left="0"/>
              <w:jc w:val="left"/>
              <w:rPr>
                <w:sz w:val="20"/>
              </w:rPr>
            </w:pPr>
          </w:p>
          <w:p>
            <w:pPr>
              <w:pStyle w:val="TableRowCentered"/>
              <w:ind w:left="0"/>
              <w:jc w:val="left"/>
              <w:rPr>
                <w:sz w:val="20"/>
              </w:rPr>
            </w:pPr>
          </w:p>
          <w:p>
            <w:pPr>
              <w:pStyle w:val="TableRowCentered"/>
              <w:ind w:left="0"/>
              <w:jc w:val="left"/>
              <w:rPr>
                <w:sz w:val="20"/>
              </w:rPr>
            </w:pPr>
          </w:p>
          <w:p>
            <w:pPr>
              <w:pStyle w:val="TableRowCentered"/>
              <w:ind w:left="0"/>
              <w:jc w:val="left"/>
              <w:rPr>
                <w:sz w:val="20"/>
              </w:rPr>
            </w:pPr>
          </w:p>
          <w:p>
            <w:pPr>
              <w:pStyle w:val="TableRowCentered"/>
              <w:ind w:left="0"/>
              <w:jc w:val="left"/>
              <w:rPr>
                <w:szCs w:val="24"/>
              </w:rPr>
            </w:pPr>
            <w:r>
              <w:rPr>
                <w:sz w:val="20"/>
              </w:rPr>
              <w:t>Attendance to summer school.</w:t>
            </w:r>
          </w:p>
        </w:tc>
        <w:tc>
          <w:tcPr>
            <w:tcW w:w="1699" w:type="dxa"/>
            <w:gridSpan w:val="2"/>
            <w:tcBorders>
              <w:right w:val="single" w:sz="4" w:space="0" w:color="000000"/>
            </w:tcBorders>
            <w:shd w:val="clear" w:color="auto" w:fill="auto"/>
          </w:tcPr>
          <w:p>
            <w:pPr>
              <w:pStyle w:val="TableRowCentered"/>
              <w:ind w:left="0"/>
              <w:jc w:val="left"/>
              <w:rPr>
                <w:sz w:val="20"/>
              </w:rPr>
            </w:pPr>
            <w:r>
              <w:rPr>
                <w:sz w:val="20"/>
              </w:rPr>
              <w:t>ADO</w:t>
            </w:r>
          </w:p>
          <w:p>
            <w:pPr>
              <w:pStyle w:val="TableRowCentered"/>
              <w:ind w:left="0"/>
              <w:jc w:val="left"/>
              <w:rPr>
                <w:sz w:val="20"/>
              </w:rPr>
            </w:pPr>
          </w:p>
          <w:p>
            <w:pPr>
              <w:pStyle w:val="TableRowCentered"/>
              <w:ind w:left="0"/>
              <w:jc w:val="left"/>
              <w:rPr>
                <w:sz w:val="20"/>
              </w:rPr>
            </w:pPr>
          </w:p>
          <w:p>
            <w:pPr>
              <w:pStyle w:val="TableRowCentered"/>
              <w:ind w:left="0"/>
              <w:jc w:val="left"/>
              <w:rPr>
                <w:sz w:val="20"/>
              </w:rPr>
            </w:pPr>
          </w:p>
          <w:p>
            <w:pPr>
              <w:pStyle w:val="TableRowCentered"/>
              <w:ind w:left="0"/>
              <w:jc w:val="left"/>
              <w:rPr>
                <w:sz w:val="20"/>
              </w:rPr>
            </w:pPr>
          </w:p>
          <w:p>
            <w:pPr>
              <w:pStyle w:val="TableRowCentered"/>
              <w:ind w:left="0"/>
              <w:jc w:val="left"/>
              <w:rPr>
                <w:sz w:val="20"/>
              </w:rPr>
            </w:pPr>
          </w:p>
          <w:p>
            <w:pPr>
              <w:pStyle w:val="TableRowCentered"/>
              <w:ind w:left="0"/>
              <w:jc w:val="left"/>
              <w:rPr>
                <w:sz w:val="20"/>
              </w:rPr>
            </w:pPr>
          </w:p>
          <w:p>
            <w:pPr>
              <w:pStyle w:val="TableRowCentered"/>
              <w:ind w:left="0"/>
              <w:jc w:val="left"/>
              <w:rPr>
                <w:sz w:val="20"/>
              </w:rPr>
            </w:pPr>
          </w:p>
          <w:p>
            <w:pPr>
              <w:pStyle w:val="TableRowCentered"/>
              <w:ind w:left="0"/>
              <w:jc w:val="left"/>
              <w:rPr>
                <w:sz w:val="20"/>
              </w:rPr>
            </w:pPr>
          </w:p>
          <w:p>
            <w:pPr>
              <w:pStyle w:val="TableRowCentered"/>
              <w:ind w:left="0"/>
              <w:jc w:val="left"/>
              <w:rPr>
                <w:sz w:val="20"/>
              </w:rPr>
            </w:pPr>
          </w:p>
          <w:p>
            <w:pPr>
              <w:pStyle w:val="TableRowCentered"/>
              <w:ind w:left="0"/>
              <w:jc w:val="left"/>
              <w:rPr>
                <w:sz w:val="20"/>
              </w:rPr>
            </w:pPr>
          </w:p>
          <w:p>
            <w:pPr>
              <w:pStyle w:val="TableRowCentered"/>
              <w:ind w:left="0"/>
              <w:jc w:val="left"/>
              <w:rPr>
                <w:sz w:val="20"/>
              </w:rPr>
            </w:pPr>
          </w:p>
          <w:p>
            <w:pPr>
              <w:pStyle w:val="TableRowCentered"/>
              <w:ind w:left="0"/>
              <w:jc w:val="left"/>
              <w:rPr>
                <w:sz w:val="20"/>
              </w:rPr>
            </w:pPr>
          </w:p>
          <w:p>
            <w:pPr>
              <w:pStyle w:val="TableRowCentered"/>
              <w:ind w:left="0"/>
              <w:jc w:val="left"/>
              <w:rPr>
                <w:sz w:val="20"/>
              </w:rPr>
            </w:pPr>
          </w:p>
          <w:p>
            <w:pPr>
              <w:pStyle w:val="TableRowCentered"/>
              <w:ind w:left="0"/>
              <w:jc w:val="left"/>
              <w:rPr>
                <w:sz w:val="20"/>
              </w:rPr>
            </w:pPr>
          </w:p>
          <w:p>
            <w:pPr>
              <w:pStyle w:val="TableRowCentered"/>
              <w:ind w:left="0"/>
              <w:jc w:val="left"/>
              <w:rPr>
                <w:sz w:val="20"/>
              </w:rPr>
            </w:pPr>
          </w:p>
          <w:p>
            <w:pPr>
              <w:pStyle w:val="TableRowCentered"/>
              <w:ind w:left="0"/>
              <w:jc w:val="left"/>
              <w:rPr>
                <w:sz w:val="20"/>
              </w:rPr>
            </w:pPr>
          </w:p>
          <w:p>
            <w:pPr>
              <w:pStyle w:val="TableRowCentered"/>
              <w:ind w:left="0"/>
              <w:jc w:val="left"/>
              <w:rPr>
                <w:sz w:val="20"/>
              </w:rPr>
            </w:pPr>
          </w:p>
          <w:p>
            <w:pPr>
              <w:pStyle w:val="TableRowCentered"/>
              <w:ind w:left="0"/>
              <w:jc w:val="left"/>
              <w:rPr>
                <w:sz w:val="20"/>
              </w:rPr>
            </w:pPr>
          </w:p>
          <w:p>
            <w:pPr>
              <w:pStyle w:val="TableRowCentered"/>
              <w:ind w:left="0"/>
              <w:jc w:val="left"/>
              <w:rPr>
                <w:sz w:val="20"/>
              </w:rPr>
            </w:pPr>
            <w:r>
              <w:rPr>
                <w:sz w:val="20"/>
              </w:rPr>
              <w:t>JRI/SDU</w:t>
            </w:r>
          </w:p>
        </w:tc>
        <w:tc>
          <w:tcPr>
            <w:tcW w:w="1561" w:type="dxa"/>
            <w:gridSpan w:val="2"/>
            <w:tcBorders>
              <w:right w:val="single" w:sz="4" w:space="0" w:color="000000"/>
            </w:tcBorders>
            <w:shd w:val="clear" w:color="auto" w:fill="auto"/>
          </w:tcPr>
          <w:p>
            <w:pPr>
              <w:pStyle w:val="TableRowCentered"/>
              <w:ind w:left="0"/>
              <w:jc w:val="left"/>
              <w:rPr>
                <w:sz w:val="20"/>
              </w:rPr>
            </w:pPr>
            <w:r>
              <w:rPr>
                <w:sz w:val="20"/>
              </w:rPr>
              <w:t>Sept21</w:t>
            </w: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r>
              <w:rPr>
                <w:lang w:eastAsia="en-GB"/>
              </w:rPr>
              <w:t>Sept 21 21</w:t>
            </w:r>
          </w:p>
        </w:tc>
      </w:tr>
      <w:tr>
        <w:trPr>
          <w:trHeight w:val="58"/>
        </w:trPr>
        <w:tc>
          <w:tcPr>
            <w:tcW w:w="1986" w:type="dxa"/>
            <w:gridSpan w:val="2"/>
            <w:tcBorders>
              <w:right w:val="single" w:sz="4" w:space="0" w:color="000000"/>
            </w:tcBorders>
            <w:shd w:val="clear" w:color="auto" w:fill="auto"/>
          </w:tcPr>
          <w:p>
            <w:pPr>
              <w:pStyle w:val="TableRowCentered"/>
              <w:ind w:left="0"/>
              <w:jc w:val="left"/>
              <w:rPr>
                <w:sz w:val="20"/>
              </w:rPr>
            </w:pPr>
            <w:r>
              <w:rPr>
                <w:sz w:val="20"/>
              </w:rPr>
              <w:t xml:space="preserve">Designated SLT responsible for CLA and safeguarding. This is a change to the </w:t>
            </w:r>
            <w:r>
              <w:rPr>
                <w:sz w:val="20"/>
              </w:rPr>
              <w:lastRenderedPageBreak/>
              <w:t>leadership structure.</w:t>
            </w:r>
          </w:p>
        </w:tc>
        <w:tc>
          <w:tcPr>
            <w:tcW w:w="3685" w:type="dxa"/>
            <w:gridSpan w:val="6"/>
            <w:tcBorders>
              <w:right w:val="single" w:sz="4" w:space="0" w:color="000000"/>
            </w:tcBorders>
            <w:shd w:val="clear" w:color="auto" w:fill="auto"/>
          </w:tcPr>
          <w:p>
            <w:pPr>
              <w:pStyle w:val="TableRowCentered"/>
              <w:jc w:val="left"/>
              <w:rPr>
                <w:b/>
                <w:sz w:val="20"/>
              </w:rPr>
            </w:pPr>
            <w:r>
              <w:rPr>
                <w:b/>
                <w:sz w:val="20"/>
              </w:rPr>
              <w:lastRenderedPageBreak/>
              <w:t>C(3)</w:t>
            </w:r>
          </w:p>
          <w:p>
            <w:pPr>
              <w:pStyle w:val="TableRowCentered"/>
              <w:jc w:val="left"/>
              <w:rPr>
                <w:sz w:val="20"/>
              </w:rPr>
            </w:pPr>
            <w:r>
              <w:rPr>
                <w:sz w:val="20"/>
              </w:rPr>
              <w:t xml:space="preserve">Early identification of CLA at primary liaison.  Liaise with primary schools, social care, foster carers and meet child </w:t>
            </w:r>
          </w:p>
          <w:p>
            <w:pPr>
              <w:pStyle w:val="TableRowCentered"/>
              <w:jc w:val="left"/>
              <w:rPr>
                <w:sz w:val="20"/>
              </w:rPr>
            </w:pPr>
            <w:r>
              <w:rPr>
                <w:sz w:val="20"/>
              </w:rPr>
              <w:lastRenderedPageBreak/>
              <w:t>Provide CLA with link to appropriate members of staff for emotional support, academic support and mentor</w:t>
            </w:r>
          </w:p>
          <w:p>
            <w:pPr>
              <w:pStyle w:val="TableRowCentered"/>
              <w:jc w:val="left"/>
              <w:rPr>
                <w:sz w:val="20"/>
              </w:rPr>
            </w:pPr>
            <w:r>
              <w:rPr>
                <w:sz w:val="20"/>
              </w:rPr>
              <w:t>Quick response to absenteeism.  Highlight with attendance team.  Ensure engaging curriculum and activities</w:t>
            </w:r>
          </w:p>
          <w:p>
            <w:pPr>
              <w:pStyle w:val="TableRowCentered"/>
              <w:jc w:val="left"/>
              <w:rPr>
                <w:sz w:val="20"/>
              </w:rPr>
            </w:pPr>
            <w:r>
              <w:rPr>
                <w:sz w:val="20"/>
              </w:rPr>
              <w:t>Mentoring sessions should include short and long term personal planning with CLA.  Support pathway to success</w:t>
            </w:r>
          </w:p>
          <w:p>
            <w:pPr>
              <w:rPr>
                <w:rFonts w:ascii="Arial" w:eastAsia="Times New Roman" w:hAnsi="Arial" w:cs="Times New Roman"/>
                <w:color w:val="0D0D0D"/>
                <w:sz w:val="20"/>
                <w:szCs w:val="20"/>
                <w:lang w:eastAsia="en-GB"/>
              </w:rPr>
            </w:pPr>
          </w:p>
          <w:p>
            <w:pPr>
              <w:rPr>
                <w:rFonts w:ascii="Arial" w:eastAsia="Times New Roman" w:hAnsi="Arial" w:cs="Times New Roman"/>
                <w:color w:val="0D0D0D"/>
                <w:sz w:val="20"/>
                <w:szCs w:val="20"/>
                <w:lang w:eastAsia="en-GB"/>
              </w:rPr>
            </w:pPr>
          </w:p>
          <w:p>
            <w:pPr>
              <w:rPr>
                <w:sz w:val="20"/>
                <w:szCs w:val="20"/>
                <w:lang w:eastAsia="en-GB"/>
              </w:rPr>
            </w:pPr>
            <w:r>
              <w:rPr>
                <w:sz w:val="20"/>
                <w:szCs w:val="20"/>
                <w:lang w:eastAsia="en-GB"/>
              </w:rPr>
              <w:t>Child Protection, Child in Need and Early Help</w:t>
            </w:r>
          </w:p>
          <w:p>
            <w:pPr>
              <w:rPr>
                <w:sz w:val="20"/>
                <w:szCs w:val="20"/>
                <w:lang w:eastAsia="en-GB"/>
              </w:rPr>
            </w:pPr>
            <w:r>
              <w:rPr>
                <w:sz w:val="20"/>
                <w:szCs w:val="20"/>
                <w:lang w:eastAsia="en-GB"/>
              </w:rPr>
              <w:t xml:space="preserve">Currently, we </w:t>
            </w:r>
            <w:r>
              <w:rPr>
                <w:b/>
                <w:sz w:val="20"/>
                <w:szCs w:val="20"/>
                <w:lang w:eastAsia="en-GB"/>
              </w:rPr>
              <w:t>have 44 children that are being supported by social care</w:t>
            </w:r>
            <w:r>
              <w:rPr>
                <w:sz w:val="20"/>
                <w:szCs w:val="20"/>
                <w:lang w:eastAsia="en-GB"/>
              </w:rPr>
              <w:t>, school family support and early help.  Some of these students have access to the mental health support and others receive pastoral support from mentors and heads of year.  The designated safeguarding lead and the deputy safeguarding lead will have 1:1 session with those vulnerable students frequently to gain student voice which is focussed on thoughts and wishes of the child.  Students are provided with uniforms if they have lost, damaged or if parents or grandparents cannot afford to buy or replace items of uniform.</w:t>
            </w:r>
          </w:p>
          <w:p>
            <w:pPr>
              <w:rPr>
                <w:b/>
                <w:lang w:eastAsia="en-GB"/>
              </w:rPr>
            </w:pPr>
            <w:r>
              <w:rPr>
                <w:b/>
                <w:sz w:val="20"/>
                <w:szCs w:val="20"/>
                <w:lang w:eastAsia="en-GB"/>
              </w:rPr>
              <w:t>Of the students that are within the safeguarding remit,  88% receive pupil premium.</w:t>
            </w:r>
          </w:p>
        </w:tc>
        <w:tc>
          <w:tcPr>
            <w:tcW w:w="3827" w:type="dxa"/>
            <w:gridSpan w:val="5"/>
            <w:tcBorders>
              <w:right w:val="single" w:sz="4" w:space="0" w:color="000000"/>
            </w:tcBorders>
            <w:shd w:val="clear" w:color="auto" w:fill="auto"/>
          </w:tcPr>
          <w:p>
            <w:pPr>
              <w:rPr>
                <w:rFonts w:ascii="Arial" w:hAnsi="Arial" w:cs="Arial"/>
                <w:sz w:val="20"/>
                <w:szCs w:val="20"/>
                <w:lang w:eastAsia="en-GB"/>
              </w:rPr>
            </w:pPr>
            <w:r>
              <w:rPr>
                <w:rFonts w:ascii="Arial" w:hAnsi="Arial" w:cs="Arial"/>
                <w:sz w:val="20"/>
                <w:szCs w:val="20"/>
                <w:lang w:eastAsia="en-GB"/>
              </w:rPr>
              <w:lastRenderedPageBreak/>
              <w:t xml:space="preserve"> </w:t>
            </w:r>
            <w:r>
              <w:rPr>
                <w:noProof/>
                <w:lang w:eastAsia="en-GB"/>
              </w:rPr>
              <w:drawing>
                <wp:inline distT="0" distB="0" distL="0" distR="0">
                  <wp:extent cx="2001982" cy="61096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06762" cy="612421"/>
                          </a:xfrm>
                          <a:prstGeom prst="rect">
                            <a:avLst/>
                          </a:prstGeom>
                        </pic:spPr>
                      </pic:pic>
                    </a:graphicData>
                  </a:graphic>
                </wp:inline>
              </w:drawing>
            </w:r>
          </w:p>
          <w:p>
            <w:pPr>
              <w:rPr>
                <w:rFonts w:ascii="Arial" w:hAnsi="Arial" w:cs="Arial"/>
                <w:sz w:val="20"/>
                <w:szCs w:val="20"/>
                <w:lang w:eastAsia="en-GB"/>
              </w:rPr>
            </w:pPr>
            <w:r>
              <w:rPr>
                <w:rFonts w:ascii="Arial" w:hAnsi="Arial" w:cs="Arial"/>
                <w:sz w:val="20"/>
                <w:szCs w:val="20"/>
                <w:lang w:eastAsia="en-GB"/>
              </w:rPr>
              <w:lastRenderedPageBreak/>
              <w:t>Local authorities have a duty under the Children Act 1989 to safeguard and promote</w:t>
            </w:r>
          </w:p>
          <w:p>
            <w:pPr>
              <w:rPr>
                <w:rFonts w:ascii="Arial" w:hAnsi="Arial" w:cs="Arial"/>
                <w:sz w:val="20"/>
                <w:szCs w:val="20"/>
                <w:lang w:eastAsia="en-GB"/>
              </w:rPr>
            </w:pPr>
            <w:r>
              <w:rPr>
                <w:rFonts w:ascii="Arial" w:hAnsi="Arial" w:cs="Arial"/>
                <w:sz w:val="20"/>
                <w:szCs w:val="20"/>
                <w:lang w:eastAsia="en-GB"/>
              </w:rPr>
              <w:t>the welfare of a child looked after1 by them. This includes a specific duty to promote</w:t>
            </w:r>
          </w:p>
          <w:p>
            <w:pPr>
              <w:rPr>
                <w:rFonts w:ascii="Arial" w:hAnsi="Arial" w:cs="Arial"/>
                <w:sz w:val="20"/>
                <w:szCs w:val="20"/>
                <w:lang w:eastAsia="en-GB"/>
              </w:rPr>
            </w:pPr>
            <w:r>
              <w:rPr>
                <w:rFonts w:ascii="Arial" w:hAnsi="Arial" w:cs="Arial"/>
                <w:sz w:val="20"/>
                <w:szCs w:val="20"/>
                <w:lang w:eastAsia="en-GB"/>
              </w:rPr>
              <w:t>the child’s educational achievement, wherever they live or are educated (DFE Promoting the education of looked after and previously looked after children)</w:t>
            </w:r>
          </w:p>
          <w:p>
            <w:pPr>
              <w:rPr>
                <w:rFonts w:ascii="Arial" w:hAnsi="Arial" w:cs="Arial"/>
                <w:sz w:val="20"/>
                <w:szCs w:val="20"/>
                <w:lang w:eastAsia="en-GB"/>
              </w:rPr>
            </w:pPr>
          </w:p>
          <w:p>
            <w:pPr>
              <w:rPr>
                <w:rFonts w:ascii="Arial" w:hAnsi="Arial" w:cs="Arial"/>
                <w:sz w:val="20"/>
                <w:szCs w:val="20"/>
                <w:lang w:eastAsia="en-GB"/>
              </w:rPr>
            </w:pPr>
          </w:p>
          <w:p>
            <w:pPr>
              <w:rPr>
                <w:rFonts w:ascii="Arial" w:hAnsi="Arial" w:cs="Arial"/>
                <w:sz w:val="20"/>
                <w:szCs w:val="20"/>
                <w:lang w:eastAsia="en-GB"/>
              </w:rPr>
            </w:pPr>
            <w:r>
              <w:rPr>
                <w:rFonts w:ascii="Arial" w:hAnsi="Arial" w:cs="Arial"/>
                <w:sz w:val="20"/>
                <w:szCs w:val="20"/>
                <w:lang w:eastAsia="en-GB"/>
              </w:rPr>
              <w:t>‘Identifying each individual’s</w:t>
            </w:r>
          </w:p>
          <w:p>
            <w:pPr>
              <w:rPr>
                <w:rFonts w:ascii="Arial" w:hAnsi="Arial" w:cs="Arial"/>
                <w:sz w:val="20"/>
                <w:szCs w:val="20"/>
                <w:lang w:eastAsia="en-GB"/>
              </w:rPr>
            </w:pPr>
            <w:r>
              <w:rPr>
                <w:rFonts w:ascii="Arial" w:hAnsi="Arial" w:cs="Arial"/>
                <w:sz w:val="20"/>
                <w:szCs w:val="20"/>
                <w:lang w:eastAsia="en-GB"/>
              </w:rPr>
              <w:t>barriers to learning is the key</w:t>
            </w:r>
          </w:p>
          <w:p>
            <w:pPr>
              <w:rPr>
                <w:rFonts w:ascii="Arial" w:hAnsi="Arial" w:cs="Arial"/>
                <w:sz w:val="20"/>
                <w:szCs w:val="20"/>
                <w:lang w:eastAsia="en-GB"/>
              </w:rPr>
            </w:pPr>
            <w:r>
              <w:rPr>
                <w:rFonts w:ascii="Arial" w:hAnsi="Arial" w:cs="Arial"/>
                <w:sz w:val="20"/>
                <w:szCs w:val="20"/>
                <w:lang w:eastAsia="en-GB"/>
              </w:rPr>
              <w:t>to success with the pupil</w:t>
            </w:r>
          </w:p>
          <w:p>
            <w:pPr>
              <w:rPr>
                <w:rFonts w:ascii="Arial" w:hAnsi="Arial" w:cs="Arial"/>
                <w:sz w:val="20"/>
                <w:szCs w:val="20"/>
                <w:lang w:eastAsia="en-GB"/>
              </w:rPr>
            </w:pPr>
            <w:r>
              <w:rPr>
                <w:rFonts w:ascii="Arial" w:hAnsi="Arial" w:cs="Arial"/>
                <w:sz w:val="20"/>
                <w:szCs w:val="20"/>
                <w:lang w:eastAsia="en-GB"/>
              </w:rPr>
              <w:t>premium’. (Effective pupil</w:t>
            </w:r>
          </w:p>
          <w:p>
            <w:pPr>
              <w:rPr>
                <w:rFonts w:ascii="Arial" w:hAnsi="Arial" w:cs="Arial"/>
                <w:sz w:val="20"/>
                <w:szCs w:val="20"/>
                <w:lang w:eastAsia="en-GB"/>
              </w:rPr>
            </w:pPr>
            <w:r>
              <w:rPr>
                <w:rFonts w:ascii="Arial" w:hAnsi="Arial" w:cs="Arial"/>
                <w:sz w:val="20"/>
                <w:szCs w:val="20"/>
                <w:lang w:eastAsia="en-GB"/>
              </w:rPr>
              <w:t>premium reviews, Teaching</w:t>
            </w:r>
          </w:p>
          <w:p>
            <w:pPr>
              <w:rPr>
                <w:rFonts w:ascii="Arial" w:hAnsi="Arial" w:cs="Arial"/>
                <w:sz w:val="20"/>
                <w:szCs w:val="20"/>
                <w:lang w:eastAsia="en-GB"/>
              </w:rPr>
            </w:pPr>
            <w:r>
              <w:rPr>
                <w:rFonts w:ascii="Arial" w:hAnsi="Arial" w:cs="Arial"/>
                <w:sz w:val="20"/>
                <w:szCs w:val="20"/>
                <w:lang w:eastAsia="en-GB"/>
              </w:rPr>
              <w:t>Schools Council)</w:t>
            </w:r>
          </w:p>
          <w:p>
            <w:pPr>
              <w:rPr>
                <w:rFonts w:ascii="Arial" w:hAnsi="Arial" w:cs="Arial"/>
                <w:sz w:val="20"/>
                <w:szCs w:val="20"/>
                <w:lang w:eastAsia="en-GB"/>
              </w:rPr>
            </w:pPr>
          </w:p>
          <w:p>
            <w:pPr>
              <w:suppressAutoHyphens/>
              <w:autoSpaceDN w:val="0"/>
              <w:spacing w:line="256" w:lineRule="auto"/>
              <w:textAlignment w:val="baseline"/>
              <w:rPr>
                <w:rFonts w:ascii="Arial" w:eastAsia="Times New Roman" w:hAnsi="Arial" w:cs="Arial"/>
                <w:sz w:val="20"/>
                <w:szCs w:val="20"/>
              </w:rPr>
            </w:pPr>
            <w:r>
              <w:rPr>
                <w:rFonts w:ascii="Arial" w:eastAsia="Times New Roman" w:hAnsi="Arial" w:cs="Arial"/>
                <w:sz w:val="20"/>
                <w:szCs w:val="20"/>
              </w:rPr>
              <w:t xml:space="preserve">At Kirkby High School we have 3 levels of mental health support.  These consist of the Knowsley Mental Health Support Team that have low level mental health issues on their caseload which includes anxiety, including social anxiety, relationship difficulties, worries and over thinking.  The school well being support worker will run sessions with students that are bereaved, where there are issues of domestic abuse, and children that are looked after, for example.   She also runs group sessions for those children that are identified as vulnerable. The school counsellor has on her caseload those children that are experiencing more serious trauma, that are waiting on CAMHS to become </w:t>
            </w:r>
            <w:r>
              <w:rPr>
                <w:rFonts w:ascii="Arial" w:eastAsia="Times New Roman" w:hAnsi="Arial" w:cs="Arial"/>
                <w:sz w:val="20"/>
                <w:szCs w:val="20"/>
              </w:rPr>
              <w:lastRenderedPageBreak/>
              <w:t>involved, food disorders, self-harm, and suicidal ideation.  The number of students that are experiencing mental health issues since lockdown has increased and the school benefits greatly from having a high support within school.</w:t>
            </w:r>
          </w:p>
          <w:p>
            <w:pPr>
              <w:suppressAutoHyphens/>
              <w:autoSpaceDN w:val="0"/>
              <w:spacing w:line="256" w:lineRule="auto"/>
              <w:textAlignment w:val="baseline"/>
              <w:rPr>
                <w:rFonts w:ascii="Arial" w:eastAsia="Times New Roman" w:hAnsi="Arial" w:cs="Arial"/>
                <w:b/>
                <w:sz w:val="20"/>
                <w:szCs w:val="20"/>
              </w:rPr>
            </w:pPr>
            <w:r>
              <w:rPr>
                <w:rFonts w:ascii="Arial" w:eastAsia="Times New Roman" w:hAnsi="Arial" w:cs="Arial"/>
                <w:b/>
                <w:sz w:val="20"/>
                <w:szCs w:val="20"/>
              </w:rPr>
              <w:t>Of the students that are currently on caseload 64% are receiving pupil premium.</w:t>
            </w:r>
          </w:p>
          <w:p>
            <w:pPr>
              <w:rPr>
                <w:rFonts w:ascii="Arial" w:hAnsi="Arial" w:cs="Arial"/>
                <w:sz w:val="20"/>
                <w:szCs w:val="20"/>
                <w:lang w:eastAsia="en-GB"/>
              </w:rPr>
            </w:pPr>
          </w:p>
        </w:tc>
        <w:tc>
          <w:tcPr>
            <w:tcW w:w="2127" w:type="dxa"/>
            <w:tcBorders>
              <w:right w:val="single" w:sz="4" w:space="0" w:color="000000"/>
            </w:tcBorders>
            <w:shd w:val="clear" w:color="auto" w:fill="auto"/>
          </w:tcPr>
          <w:p>
            <w:pPr>
              <w:pStyle w:val="TableRowCentered"/>
              <w:ind w:left="0"/>
              <w:jc w:val="left"/>
              <w:rPr>
                <w:sz w:val="20"/>
              </w:rPr>
            </w:pPr>
            <w:r>
              <w:rPr>
                <w:sz w:val="20"/>
              </w:rPr>
              <w:lastRenderedPageBreak/>
              <w:t>Personal Educational Plans (PEPs)</w:t>
            </w:r>
          </w:p>
          <w:p>
            <w:pPr>
              <w:rPr>
                <w:lang w:eastAsia="en-GB"/>
              </w:rPr>
            </w:pPr>
          </w:p>
          <w:p>
            <w:pPr>
              <w:rPr>
                <w:rFonts w:ascii="Arial" w:hAnsi="Arial" w:cs="Arial"/>
                <w:sz w:val="20"/>
                <w:szCs w:val="20"/>
                <w:lang w:eastAsia="en-GB"/>
              </w:rPr>
            </w:pPr>
            <w:r>
              <w:rPr>
                <w:rFonts w:ascii="Arial" w:hAnsi="Arial" w:cs="Arial"/>
                <w:sz w:val="20"/>
                <w:szCs w:val="20"/>
                <w:lang w:eastAsia="en-GB"/>
              </w:rPr>
              <w:lastRenderedPageBreak/>
              <w:t>Tracking of progress of CLA students</w:t>
            </w:r>
          </w:p>
        </w:tc>
        <w:tc>
          <w:tcPr>
            <w:tcW w:w="1699" w:type="dxa"/>
            <w:gridSpan w:val="2"/>
            <w:tcBorders>
              <w:right w:val="single" w:sz="4" w:space="0" w:color="000000"/>
            </w:tcBorders>
            <w:shd w:val="clear" w:color="auto" w:fill="auto"/>
          </w:tcPr>
          <w:p>
            <w:pPr>
              <w:pStyle w:val="TableRowCentered"/>
              <w:ind w:left="0"/>
              <w:jc w:val="left"/>
              <w:rPr>
                <w:sz w:val="20"/>
              </w:rPr>
            </w:pPr>
            <w:r>
              <w:rPr>
                <w:sz w:val="20"/>
              </w:rPr>
              <w:lastRenderedPageBreak/>
              <w:t>JRI</w:t>
            </w:r>
          </w:p>
        </w:tc>
        <w:tc>
          <w:tcPr>
            <w:tcW w:w="1561" w:type="dxa"/>
            <w:gridSpan w:val="2"/>
            <w:tcBorders>
              <w:right w:val="single" w:sz="4" w:space="0" w:color="000000"/>
            </w:tcBorders>
            <w:shd w:val="clear" w:color="auto" w:fill="auto"/>
          </w:tcPr>
          <w:p>
            <w:pPr>
              <w:pStyle w:val="TableRowCentered"/>
              <w:ind w:left="0"/>
              <w:jc w:val="left"/>
              <w:rPr>
                <w:sz w:val="20"/>
              </w:rPr>
            </w:pPr>
            <w:r>
              <w:rPr>
                <w:sz w:val="20"/>
              </w:rPr>
              <w:t>Half termly</w:t>
            </w:r>
          </w:p>
        </w:tc>
      </w:tr>
      <w:tr>
        <w:trPr>
          <w:trHeight w:val="4510"/>
        </w:trPr>
        <w:tc>
          <w:tcPr>
            <w:tcW w:w="1986" w:type="dxa"/>
            <w:gridSpan w:val="2"/>
            <w:tcBorders>
              <w:right w:val="single" w:sz="4" w:space="0" w:color="000000"/>
            </w:tcBorders>
            <w:shd w:val="clear" w:color="auto" w:fill="auto"/>
          </w:tcPr>
          <w:p>
            <w:pPr>
              <w:pStyle w:val="TableRow"/>
              <w:ind w:left="0"/>
              <w:rPr>
                <w:rFonts w:cs="Arial"/>
                <w:sz w:val="20"/>
                <w:szCs w:val="20"/>
              </w:rPr>
            </w:pPr>
            <w:r>
              <w:rPr>
                <w:rFonts w:cs="Arial"/>
                <w:sz w:val="20"/>
                <w:szCs w:val="20"/>
              </w:rPr>
              <w:lastRenderedPageBreak/>
              <w:t>Ensure careers event is launched in school and is accessible for all students not just in y11</w:t>
            </w:r>
          </w:p>
          <w:p>
            <w:pPr>
              <w:pStyle w:val="TableRowCentered"/>
              <w:ind w:left="0"/>
              <w:jc w:val="left"/>
              <w:rPr>
                <w:b/>
                <w:szCs w:val="24"/>
              </w:rPr>
            </w:pPr>
          </w:p>
          <w:p>
            <w:pPr>
              <w:pStyle w:val="TableRowCentered"/>
              <w:ind w:left="0"/>
              <w:jc w:val="left"/>
              <w:rPr>
                <w:b/>
                <w:szCs w:val="24"/>
              </w:rPr>
            </w:pPr>
          </w:p>
          <w:p>
            <w:pPr>
              <w:pStyle w:val="TableRow"/>
              <w:ind w:left="0"/>
              <w:rPr>
                <w:b/>
              </w:rPr>
            </w:pPr>
            <w:r>
              <w:rPr>
                <w:rFonts w:cs="Arial"/>
                <w:sz w:val="20"/>
                <w:szCs w:val="20"/>
              </w:rPr>
              <w:t>Targeted one-to-one meetings for Y11 students ensuring disadvantaged students have the support they need.</w:t>
            </w:r>
          </w:p>
        </w:tc>
        <w:tc>
          <w:tcPr>
            <w:tcW w:w="3685" w:type="dxa"/>
            <w:gridSpan w:val="6"/>
            <w:tcBorders>
              <w:right w:val="single" w:sz="4" w:space="0" w:color="000000"/>
            </w:tcBorders>
            <w:shd w:val="clear" w:color="auto" w:fill="auto"/>
          </w:tcPr>
          <w:p>
            <w:pPr>
              <w:pStyle w:val="TableRowCentered"/>
              <w:ind w:left="0"/>
              <w:jc w:val="left"/>
              <w:rPr>
                <w:b/>
                <w:sz w:val="20"/>
              </w:rPr>
            </w:pPr>
            <w:r>
              <w:rPr>
                <w:b/>
                <w:sz w:val="20"/>
              </w:rPr>
              <w:t>E(5)</w:t>
            </w:r>
          </w:p>
          <w:p>
            <w:pPr>
              <w:pStyle w:val="TableRowCentered"/>
              <w:ind w:left="0"/>
              <w:jc w:val="left"/>
              <w:rPr>
                <w:sz w:val="20"/>
              </w:rPr>
            </w:pPr>
            <w:r>
              <w:rPr>
                <w:sz w:val="20"/>
              </w:rPr>
              <w:t>Increased attendance to careers event by students and parents</w:t>
            </w:r>
          </w:p>
          <w:p>
            <w:pPr>
              <w:pStyle w:val="TableRowCentered"/>
              <w:ind w:left="0"/>
              <w:jc w:val="left"/>
              <w:rPr>
                <w:sz w:val="20"/>
              </w:rPr>
            </w:pPr>
          </w:p>
          <w:p>
            <w:pPr>
              <w:pStyle w:val="TableRowCentered"/>
              <w:ind w:left="0"/>
              <w:jc w:val="left"/>
              <w:rPr>
                <w:sz w:val="20"/>
              </w:rPr>
            </w:pPr>
            <w:r>
              <w:rPr>
                <w:sz w:val="20"/>
              </w:rPr>
              <w:t>Every pupil and their parents should have access to good quality information about future study options (Gatsby Benchmark 2)</w:t>
            </w:r>
          </w:p>
          <w:p>
            <w:pPr>
              <w:pStyle w:val="TableRowCentered"/>
              <w:ind w:left="0"/>
              <w:jc w:val="left"/>
              <w:rPr>
                <w:sz w:val="20"/>
              </w:rPr>
            </w:pPr>
          </w:p>
          <w:p>
            <w:pPr>
              <w:pStyle w:val="TableRowCentered"/>
              <w:ind w:left="0"/>
              <w:jc w:val="left"/>
              <w:rPr>
                <w:sz w:val="20"/>
              </w:rPr>
            </w:pPr>
            <w:r>
              <w:rPr>
                <w:sz w:val="20"/>
              </w:rPr>
              <w:t>Where necessary invite parents to the careers meeting, especially for those students who have SEND.</w:t>
            </w:r>
          </w:p>
          <w:p>
            <w:pPr>
              <w:pStyle w:val="TableRowCentered"/>
              <w:ind w:left="0"/>
              <w:jc w:val="left"/>
              <w:rPr>
                <w:sz w:val="20"/>
              </w:rPr>
            </w:pPr>
          </w:p>
          <w:p>
            <w:pPr>
              <w:pStyle w:val="TableRowCentered"/>
              <w:ind w:left="0"/>
              <w:jc w:val="left"/>
              <w:rPr>
                <w:sz w:val="20"/>
              </w:rPr>
            </w:pPr>
            <w:r>
              <w:rPr>
                <w:sz w:val="20"/>
              </w:rPr>
              <w:t>Advice and support should be tailored to the needs of each pupil (Meet requirements for Gatsby Benchmark 3)</w:t>
            </w:r>
          </w:p>
          <w:p>
            <w:pPr>
              <w:pStyle w:val="TableRowCentered"/>
              <w:ind w:left="0"/>
              <w:jc w:val="left"/>
              <w:rPr>
                <w:sz w:val="20"/>
              </w:rPr>
            </w:pPr>
          </w:p>
        </w:tc>
        <w:tc>
          <w:tcPr>
            <w:tcW w:w="3827" w:type="dxa"/>
            <w:gridSpan w:val="5"/>
            <w:tcBorders>
              <w:right w:val="single" w:sz="4" w:space="0" w:color="000000"/>
            </w:tcBorders>
            <w:shd w:val="clear" w:color="auto" w:fill="auto"/>
          </w:tcPr>
          <w:p>
            <w:pPr>
              <w:pStyle w:val="TableRowCentered"/>
              <w:jc w:val="left"/>
              <w:rPr>
                <w:sz w:val="20"/>
              </w:rPr>
            </w:pPr>
            <w:r>
              <w:rPr>
                <w:sz w:val="20"/>
              </w:rPr>
              <w:t>Essential life skills (or ‘character’) are important in determining life</w:t>
            </w:r>
          </w:p>
          <w:p>
            <w:pPr>
              <w:pStyle w:val="TableRowCentered"/>
              <w:jc w:val="left"/>
              <w:rPr>
                <w:sz w:val="20"/>
              </w:rPr>
            </w:pPr>
            <w:r>
              <w:rPr>
                <w:sz w:val="20"/>
              </w:rPr>
              <w:t>chances and can be measured in a robust and comparable way. (EEF)</w:t>
            </w:r>
          </w:p>
          <w:p>
            <w:pPr>
              <w:pStyle w:val="TableRowCentered"/>
              <w:jc w:val="left"/>
              <w:rPr>
                <w:sz w:val="20"/>
              </w:rPr>
            </w:pPr>
            <w:r>
              <w:rPr>
                <w:sz w:val="20"/>
              </w:rPr>
              <w:t>Students are 80% less likely to fall NEET if they have at least 1</w:t>
            </w:r>
          </w:p>
          <w:p>
            <w:pPr>
              <w:pStyle w:val="TableRowCentered"/>
              <w:ind w:left="0"/>
              <w:jc w:val="left"/>
              <w:rPr>
                <w:sz w:val="20"/>
              </w:rPr>
            </w:pPr>
            <w:r>
              <w:rPr>
                <w:sz w:val="20"/>
              </w:rPr>
              <w:t>employer interaction a year.</w:t>
            </w:r>
          </w:p>
          <w:p>
            <w:pPr>
              <w:pStyle w:val="TableRowCentered"/>
              <w:ind w:left="0"/>
              <w:jc w:val="left"/>
              <w:rPr>
                <w:sz w:val="20"/>
              </w:rPr>
            </w:pPr>
            <w:r>
              <w:rPr>
                <w:noProof/>
              </w:rPr>
              <w:drawing>
                <wp:inline distT="0" distB="0" distL="0" distR="0">
                  <wp:extent cx="1918854" cy="585593"/>
                  <wp:effectExtent l="0" t="0" r="5715"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25809" cy="587716"/>
                          </a:xfrm>
                          <a:prstGeom prst="rect">
                            <a:avLst/>
                          </a:prstGeom>
                        </pic:spPr>
                      </pic:pic>
                    </a:graphicData>
                  </a:graphic>
                </wp:inline>
              </w:drawing>
            </w:r>
          </w:p>
          <w:p>
            <w:pPr>
              <w:pStyle w:val="TableRowCentered"/>
              <w:ind w:left="0"/>
              <w:jc w:val="left"/>
              <w:rPr>
                <w:sz w:val="20"/>
              </w:rPr>
            </w:pPr>
          </w:p>
        </w:tc>
        <w:tc>
          <w:tcPr>
            <w:tcW w:w="2127" w:type="dxa"/>
            <w:tcBorders>
              <w:right w:val="single" w:sz="4" w:space="0" w:color="000000"/>
            </w:tcBorders>
            <w:shd w:val="clear" w:color="auto" w:fill="auto"/>
          </w:tcPr>
          <w:p>
            <w:pPr>
              <w:pStyle w:val="TableRowCentered"/>
              <w:ind w:left="0"/>
              <w:jc w:val="left"/>
              <w:rPr>
                <w:rFonts w:cs="Arial"/>
                <w:sz w:val="20"/>
              </w:rPr>
            </w:pPr>
            <w:r>
              <w:rPr>
                <w:rFonts w:cs="Arial"/>
                <w:sz w:val="20"/>
              </w:rPr>
              <w:t>Attendance to event.</w:t>
            </w:r>
          </w:p>
          <w:p>
            <w:pPr>
              <w:pStyle w:val="TableRowCentered"/>
              <w:ind w:left="0"/>
              <w:jc w:val="left"/>
              <w:rPr>
                <w:rFonts w:cs="Arial"/>
                <w:sz w:val="20"/>
              </w:rPr>
            </w:pPr>
          </w:p>
          <w:p>
            <w:pPr>
              <w:pStyle w:val="TableRowCentered"/>
              <w:ind w:left="0"/>
              <w:jc w:val="left"/>
              <w:rPr>
                <w:rFonts w:cs="Arial"/>
                <w:sz w:val="20"/>
              </w:rPr>
            </w:pPr>
            <w:r>
              <w:rPr>
                <w:rFonts w:cs="Arial"/>
                <w:sz w:val="20"/>
              </w:rPr>
              <w:t xml:space="preserve">Progress towards Gatsby Benchmark2 </w:t>
            </w:r>
          </w:p>
          <w:p>
            <w:pPr>
              <w:pStyle w:val="TableRowCentered"/>
              <w:ind w:left="0"/>
              <w:jc w:val="left"/>
              <w:rPr>
                <w:rFonts w:cs="Arial"/>
                <w:sz w:val="20"/>
              </w:rPr>
            </w:pPr>
          </w:p>
          <w:p>
            <w:pPr>
              <w:pStyle w:val="TableRowCentered"/>
              <w:ind w:left="0"/>
              <w:jc w:val="left"/>
              <w:rPr>
                <w:b/>
                <w:szCs w:val="24"/>
              </w:rPr>
            </w:pPr>
            <w:r>
              <w:rPr>
                <w:rFonts w:cs="Arial"/>
                <w:sz w:val="20"/>
              </w:rPr>
              <w:t>% of students who are at risk of NEET reduced</w:t>
            </w:r>
          </w:p>
        </w:tc>
        <w:tc>
          <w:tcPr>
            <w:tcW w:w="1699" w:type="dxa"/>
            <w:gridSpan w:val="2"/>
            <w:tcBorders>
              <w:right w:val="single" w:sz="4" w:space="0" w:color="000000"/>
            </w:tcBorders>
            <w:shd w:val="clear" w:color="auto" w:fill="auto"/>
          </w:tcPr>
          <w:p>
            <w:pPr>
              <w:pStyle w:val="TableRowCentered"/>
              <w:ind w:left="0"/>
              <w:jc w:val="left"/>
              <w:rPr>
                <w:sz w:val="20"/>
              </w:rPr>
            </w:pPr>
            <w:r>
              <w:rPr>
                <w:sz w:val="20"/>
              </w:rPr>
              <w:t>AKE/GJA</w:t>
            </w:r>
          </w:p>
        </w:tc>
        <w:tc>
          <w:tcPr>
            <w:tcW w:w="1561" w:type="dxa"/>
            <w:gridSpan w:val="2"/>
            <w:tcBorders>
              <w:right w:val="single" w:sz="4" w:space="0" w:color="000000"/>
            </w:tcBorders>
            <w:shd w:val="clear" w:color="auto" w:fill="auto"/>
          </w:tcPr>
          <w:p>
            <w:pPr>
              <w:pStyle w:val="TableRowCentered"/>
              <w:ind w:left="0"/>
              <w:jc w:val="left"/>
              <w:rPr>
                <w:sz w:val="20"/>
              </w:rPr>
            </w:pPr>
            <w:r>
              <w:rPr>
                <w:sz w:val="20"/>
              </w:rPr>
              <w:t>Autumn Term</w:t>
            </w:r>
          </w:p>
        </w:tc>
      </w:tr>
      <w:tr>
        <w:trPr>
          <w:trHeight w:val="274"/>
        </w:trPr>
        <w:tc>
          <w:tcPr>
            <w:tcW w:w="1986" w:type="dxa"/>
            <w:gridSpan w:val="2"/>
            <w:tcBorders>
              <w:right w:val="single" w:sz="4" w:space="0" w:color="000000"/>
            </w:tcBorders>
            <w:shd w:val="clear" w:color="auto" w:fill="auto"/>
          </w:tcPr>
          <w:p>
            <w:pPr>
              <w:contextualSpacing/>
              <w:rPr>
                <w:rFonts w:ascii="Arial" w:hAnsi="Arial" w:cs="Arial"/>
                <w:sz w:val="20"/>
                <w:szCs w:val="20"/>
              </w:rPr>
            </w:pPr>
            <w:r>
              <w:rPr>
                <w:rFonts w:ascii="Arial" w:hAnsi="Arial" w:cs="Arial"/>
                <w:sz w:val="20"/>
                <w:szCs w:val="20"/>
              </w:rPr>
              <w:t xml:space="preserve">Personal development curriculum review including CIEAG programme development, RSE </w:t>
            </w:r>
            <w:r>
              <w:rPr>
                <w:rFonts w:ascii="Arial" w:hAnsi="Arial" w:cs="Arial"/>
                <w:sz w:val="20"/>
                <w:szCs w:val="20"/>
              </w:rPr>
              <w:lastRenderedPageBreak/>
              <w:t>curriculum implementation and a review of SMSC, British Value, Citizenship, Collective Worship and Cultural Capital</w:t>
            </w:r>
          </w:p>
          <w:p>
            <w:pPr>
              <w:numPr>
                <w:ilvl w:val="0"/>
                <w:numId w:val="14"/>
              </w:numPr>
              <w:contextualSpacing/>
              <w:rPr>
                <w:rFonts w:cs="Arial"/>
                <w:i/>
                <w:sz w:val="20"/>
                <w:szCs w:val="20"/>
              </w:rPr>
            </w:pPr>
          </w:p>
        </w:tc>
        <w:tc>
          <w:tcPr>
            <w:tcW w:w="3685" w:type="dxa"/>
            <w:gridSpan w:val="6"/>
            <w:tcBorders>
              <w:right w:val="single" w:sz="4" w:space="0" w:color="000000"/>
            </w:tcBorders>
            <w:shd w:val="clear" w:color="auto" w:fill="auto"/>
          </w:tcPr>
          <w:p>
            <w:pPr>
              <w:contextualSpacing/>
              <w:rPr>
                <w:rFonts w:ascii="Arial" w:hAnsi="Arial" w:cs="Arial"/>
                <w:b/>
                <w:sz w:val="20"/>
              </w:rPr>
            </w:pPr>
            <w:r>
              <w:rPr>
                <w:rFonts w:ascii="Arial" w:hAnsi="Arial" w:cs="Arial"/>
                <w:b/>
                <w:sz w:val="20"/>
              </w:rPr>
              <w:lastRenderedPageBreak/>
              <w:t>E(5)</w:t>
            </w:r>
          </w:p>
          <w:p>
            <w:pPr>
              <w:contextualSpacing/>
              <w:rPr>
                <w:rFonts w:ascii="Arial" w:hAnsi="Arial" w:cs="Arial"/>
                <w:sz w:val="20"/>
              </w:rPr>
            </w:pPr>
            <w:r>
              <w:rPr>
                <w:rFonts w:ascii="Arial" w:hAnsi="Arial" w:cs="Arial"/>
                <w:sz w:val="20"/>
              </w:rPr>
              <w:t xml:space="preserve">Drop down days planned throughout the year to improve student wellbeing of students in all year groups. </w:t>
            </w:r>
          </w:p>
          <w:p>
            <w:pPr>
              <w:contextualSpacing/>
              <w:rPr>
                <w:sz w:val="20"/>
              </w:rPr>
            </w:pPr>
          </w:p>
          <w:p>
            <w:pPr>
              <w:contextualSpacing/>
              <w:rPr>
                <w:rFonts w:ascii="Arial" w:hAnsi="Arial" w:cs="Arial"/>
                <w:sz w:val="20"/>
              </w:rPr>
            </w:pPr>
            <w:r>
              <w:rPr>
                <w:rFonts w:ascii="Arial" w:hAnsi="Arial" w:cs="Arial"/>
                <w:sz w:val="20"/>
              </w:rPr>
              <w:lastRenderedPageBreak/>
              <w:t>Extended form time on protected characteristics so students feel safe, supported and confident in their discussion.</w:t>
            </w:r>
          </w:p>
          <w:p>
            <w:pPr>
              <w:contextualSpacing/>
              <w:rPr>
                <w:rFonts w:ascii="Arial" w:hAnsi="Arial" w:cs="Arial"/>
                <w:sz w:val="20"/>
              </w:rPr>
            </w:pPr>
          </w:p>
          <w:p>
            <w:pPr>
              <w:contextualSpacing/>
              <w:rPr>
                <w:rFonts w:ascii="Arial" w:hAnsi="Arial" w:cs="Arial"/>
                <w:sz w:val="20"/>
              </w:rPr>
            </w:pPr>
            <w:r>
              <w:rPr>
                <w:rFonts w:ascii="Arial" w:hAnsi="Arial" w:cs="Arial"/>
                <w:sz w:val="20"/>
              </w:rPr>
              <w:t>Form time themes of the week for all students opportunity for collective workship</w:t>
            </w:r>
          </w:p>
          <w:p>
            <w:pPr>
              <w:contextualSpacing/>
              <w:rPr>
                <w:rFonts w:ascii="Arial" w:hAnsi="Arial" w:cs="Arial"/>
                <w:sz w:val="20"/>
              </w:rPr>
            </w:pPr>
          </w:p>
          <w:p>
            <w:pPr>
              <w:contextualSpacing/>
              <w:rPr>
                <w:rFonts w:ascii="Arial" w:hAnsi="Arial" w:cs="Arial"/>
                <w:sz w:val="20"/>
              </w:rPr>
            </w:pPr>
            <w:r>
              <w:rPr>
                <w:rFonts w:ascii="Arial" w:hAnsi="Arial" w:cs="Arial"/>
                <w:sz w:val="20"/>
              </w:rPr>
              <w:t>Inset Days for staff and drop down days for students for CPD on peer and peer abuse and healthy relationships, British values and consent, healthy mind and body.</w:t>
            </w:r>
          </w:p>
          <w:p>
            <w:pPr>
              <w:contextualSpacing/>
              <w:rPr>
                <w:rFonts w:ascii="Arial" w:hAnsi="Arial" w:cs="Arial"/>
                <w:sz w:val="20"/>
              </w:rPr>
            </w:pPr>
          </w:p>
          <w:p>
            <w:pPr>
              <w:contextualSpacing/>
              <w:rPr>
                <w:rFonts w:ascii="Arial" w:hAnsi="Arial" w:cs="Arial"/>
                <w:sz w:val="20"/>
              </w:rPr>
            </w:pPr>
          </w:p>
          <w:p>
            <w:pPr>
              <w:contextualSpacing/>
              <w:rPr>
                <w:rFonts w:ascii="Arial" w:hAnsi="Arial" w:cs="Arial"/>
                <w:sz w:val="20"/>
              </w:rPr>
            </w:pPr>
          </w:p>
          <w:p>
            <w:pPr>
              <w:contextualSpacing/>
              <w:rPr>
                <w:b/>
                <w:sz w:val="20"/>
              </w:rPr>
            </w:pPr>
          </w:p>
        </w:tc>
        <w:tc>
          <w:tcPr>
            <w:tcW w:w="3827" w:type="dxa"/>
            <w:gridSpan w:val="5"/>
            <w:vMerge w:val="restart"/>
            <w:tcBorders>
              <w:right w:val="single" w:sz="4" w:space="0" w:color="000000"/>
            </w:tcBorders>
            <w:shd w:val="clear" w:color="auto" w:fill="auto"/>
          </w:tcPr>
          <w:p>
            <w:pPr>
              <w:pStyle w:val="TableRowCentered"/>
              <w:jc w:val="left"/>
              <w:rPr>
                <w:sz w:val="20"/>
              </w:rPr>
            </w:pPr>
            <w:r>
              <w:rPr>
                <w:sz w:val="20"/>
              </w:rPr>
              <w:lastRenderedPageBreak/>
              <w:t>Ofsted Review of Sexual Abuse in Schools</w:t>
            </w:r>
            <w:r>
              <w:rPr>
                <w:rFonts w:cs="Arial"/>
                <w:color w:val="0B0C0C"/>
                <w:sz w:val="20"/>
                <w:shd w:val="clear" w:color="auto" w:fill="FFFFFF"/>
              </w:rPr>
              <w:t xml:space="preserve"> June 21 Recommends ‘a carefully sequenced </w:t>
            </w:r>
            <w:r>
              <w:rPr>
                <w:sz w:val="20"/>
              </w:rPr>
              <w:t>RSHE</w:t>
            </w:r>
            <w:r>
              <w:rPr>
                <w:rFonts w:cs="Arial"/>
                <w:color w:val="0B0C0C"/>
                <w:sz w:val="20"/>
                <w:shd w:val="clear" w:color="auto" w:fill="FFFFFF"/>
              </w:rPr>
              <w:t> curriculum, based on the Department for Education’s (</w:t>
            </w:r>
            <w:r>
              <w:rPr>
                <w:sz w:val="20"/>
              </w:rPr>
              <w:t>DfE</w:t>
            </w:r>
            <w:r>
              <w:rPr>
                <w:rFonts w:cs="Arial"/>
                <w:color w:val="0B0C0C"/>
                <w:sz w:val="20"/>
                <w:shd w:val="clear" w:color="auto" w:fill="FFFFFF"/>
              </w:rPr>
              <w:t xml:space="preserve">’s) statutory guidance, that specifically includes sexual </w:t>
            </w:r>
            <w:r>
              <w:rPr>
                <w:rFonts w:cs="Arial"/>
                <w:color w:val="0B0C0C"/>
                <w:sz w:val="20"/>
                <w:shd w:val="clear" w:color="auto" w:fill="FFFFFF"/>
              </w:rPr>
              <w:lastRenderedPageBreak/>
              <w:t>harassment and sexual violence, including online. This should include time for open discussion of topics that children and young people tell us they find particularly difficult, such as consent and the sending of ‘nudes</w:t>
            </w:r>
          </w:p>
          <w:p>
            <w:pPr>
              <w:rPr>
                <w:rFonts w:ascii="Arial" w:hAnsi="Arial" w:cs="Arial"/>
                <w:lang w:eastAsia="en-GB"/>
              </w:rPr>
            </w:pPr>
          </w:p>
          <w:p>
            <w:pPr>
              <w:rPr>
                <w:rFonts w:ascii="Arial" w:hAnsi="Arial" w:cs="Arial"/>
                <w:sz w:val="20"/>
                <w:szCs w:val="20"/>
                <w:lang w:eastAsia="en-GB"/>
              </w:rPr>
            </w:pPr>
            <w:r>
              <w:rPr>
                <w:rFonts w:ascii="Arial" w:hAnsi="Arial" w:cs="Arial"/>
                <w:lang w:eastAsia="en-GB"/>
              </w:rPr>
              <w:t>‘</w:t>
            </w:r>
            <w:r>
              <w:rPr>
                <w:rFonts w:ascii="Arial" w:hAnsi="Arial" w:cs="Arial"/>
                <w:sz w:val="20"/>
                <w:szCs w:val="20"/>
                <w:lang w:eastAsia="en-GB"/>
              </w:rPr>
              <w:t>Schools should promote the fundamental British values of democracy, the rule of law,</w:t>
            </w:r>
          </w:p>
          <w:p>
            <w:pPr>
              <w:rPr>
                <w:rFonts w:ascii="Arial" w:hAnsi="Arial" w:cs="Arial"/>
                <w:sz w:val="20"/>
                <w:szCs w:val="20"/>
                <w:lang w:eastAsia="en-GB"/>
              </w:rPr>
            </w:pPr>
            <w:r>
              <w:rPr>
                <w:rFonts w:ascii="Arial" w:hAnsi="Arial" w:cs="Arial"/>
                <w:sz w:val="20"/>
                <w:szCs w:val="20"/>
                <w:lang w:eastAsia="en-GB"/>
              </w:rPr>
              <w:t>individual liberty, and mutual respect and tolerance of those with different faiths and</w:t>
            </w:r>
          </w:p>
          <w:p>
            <w:pPr>
              <w:rPr>
                <w:rFonts w:ascii="Arial" w:hAnsi="Arial" w:cs="Arial"/>
                <w:sz w:val="20"/>
                <w:szCs w:val="20"/>
                <w:lang w:eastAsia="en-GB"/>
              </w:rPr>
            </w:pPr>
            <w:r>
              <w:rPr>
                <w:rFonts w:ascii="Arial" w:hAnsi="Arial" w:cs="Arial"/>
                <w:sz w:val="20"/>
                <w:szCs w:val="20"/>
                <w:lang w:eastAsia="en-GB"/>
              </w:rPr>
              <w:t>beliefs1</w:t>
            </w:r>
          </w:p>
          <w:p>
            <w:pPr>
              <w:rPr>
                <w:rFonts w:ascii="Arial" w:hAnsi="Arial" w:cs="Arial"/>
                <w:sz w:val="20"/>
                <w:szCs w:val="20"/>
                <w:lang w:eastAsia="en-GB"/>
              </w:rPr>
            </w:pPr>
            <w:r>
              <w:rPr>
                <w:rFonts w:ascii="Arial" w:hAnsi="Arial" w:cs="Arial"/>
                <w:sz w:val="20"/>
                <w:szCs w:val="20"/>
                <w:lang w:eastAsia="en-GB"/>
              </w:rPr>
              <w:t>. This can help schools to demonstrate how they are meeting the requirements of Section 78 of the Education Act 2002, in their provision of SMSC.</w:t>
            </w:r>
          </w:p>
        </w:tc>
        <w:tc>
          <w:tcPr>
            <w:tcW w:w="2127" w:type="dxa"/>
            <w:tcBorders>
              <w:right w:val="single" w:sz="4" w:space="0" w:color="000000"/>
            </w:tcBorders>
            <w:shd w:val="clear" w:color="auto" w:fill="auto"/>
          </w:tcPr>
          <w:p>
            <w:pPr>
              <w:pStyle w:val="TableRowCentered"/>
              <w:ind w:left="0"/>
              <w:jc w:val="left"/>
              <w:rPr>
                <w:sz w:val="20"/>
              </w:rPr>
            </w:pPr>
            <w:r>
              <w:rPr>
                <w:sz w:val="20"/>
              </w:rPr>
              <w:lastRenderedPageBreak/>
              <w:t>Timetable of personal development activities for 2021-2022</w:t>
            </w:r>
          </w:p>
          <w:p>
            <w:pPr>
              <w:pStyle w:val="TableRowCentered"/>
              <w:ind w:left="0"/>
              <w:jc w:val="left"/>
              <w:rPr>
                <w:sz w:val="20"/>
              </w:rPr>
            </w:pPr>
          </w:p>
          <w:p>
            <w:pPr>
              <w:pStyle w:val="TableRowCentered"/>
              <w:ind w:left="0"/>
              <w:jc w:val="left"/>
              <w:rPr>
                <w:sz w:val="20"/>
              </w:rPr>
            </w:pPr>
            <w:r>
              <w:rPr>
                <w:sz w:val="20"/>
              </w:rPr>
              <w:lastRenderedPageBreak/>
              <w:t>Action plan quality assured for PD and for CIAG</w:t>
            </w:r>
          </w:p>
          <w:p>
            <w:pPr>
              <w:pStyle w:val="TableRowCentered"/>
              <w:ind w:left="0"/>
              <w:jc w:val="left"/>
              <w:rPr>
                <w:sz w:val="20"/>
              </w:rPr>
            </w:pPr>
          </w:p>
          <w:p>
            <w:pPr>
              <w:pStyle w:val="TableRowCentered"/>
              <w:ind w:left="0"/>
              <w:jc w:val="left"/>
              <w:rPr>
                <w:rFonts w:cs="Arial"/>
                <w:sz w:val="20"/>
              </w:rPr>
            </w:pPr>
            <w:r>
              <w:rPr>
                <w:rFonts w:cs="Arial"/>
                <w:sz w:val="20"/>
              </w:rPr>
              <w:t>Student voice</w:t>
            </w:r>
          </w:p>
          <w:p>
            <w:pPr>
              <w:rPr>
                <w:rFonts w:ascii="Arial" w:hAnsi="Arial" w:cs="Arial"/>
                <w:sz w:val="20"/>
                <w:szCs w:val="20"/>
                <w:lang w:eastAsia="en-GB"/>
              </w:rPr>
            </w:pPr>
          </w:p>
          <w:p>
            <w:pPr>
              <w:rPr>
                <w:sz w:val="20"/>
                <w:szCs w:val="20"/>
                <w:lang w:eastAsia="en-GB"/>
              </w:rPr>
            </w:pPr>
            <w:r>
              <w:rPr>
                <w:rFonts w:ascii="Arial" w:hAnsi="Arial" w:cs="Arial"/>
                <w:sz w:val="20"/>
                <w:szCs w:val="20"/>
                <w:lang w:eastAsia="en-GB"/>
              </w:rPr>
              <w:t>Staff voice</w:t>
            </w:r>
          </w:p>
        </w:tc>
        <w:tc>
          <w:tcPr>
            <w:tcW w:w="1699" w:type="dxa"/>
            <w:gridSpan w:val="2"/>
            <w:tcBorders>
              <w:right w:val="single" w:sz="4" w:space="0" w:color="000000"/>
            </w:tcBorders>
            <w:shd w:val="clear" w:color="auto" w:fill="auto"/>
          </w:tcPr>
          <w:p>
            <w:pPr>
              <w:pStyle w:val="TableRowCentered"/>
              <w:ind w:left="0"/>
              <w:jc w:val="left"/>
              <w:rPr>
                <w:sz w:val="20"/>
              </w:rPr>
            </w:pPr>
            <w:r>
              <w:rPr>
                <w:sz w:val="20"/>
              </w:rPr>
              <w:lastRenderedPageBreak/>
              <w:t>JRI/AKE/JPG</w:t>
            </w:r>
          </w:p>
        </w:tc>
        <w:tc>
          <w:tcPr>
            <w:tcW w:w="1561" w:type="dxa"/>
            <w:gridSpan w:val="2"/>
            <w:tcBorders>
              <w:right w:val="single" w:sz="4" w:space="0" w:color="000000"/>
            </w:tcBorders>
            <w:shd w:val="clear" w:color="auto" w:fill="auto"/>
          </w:tcPr>
          <w:p>
            <w:pPr>
              <w:pStyle w:val="TableRowCentered"/>
              <w:ind w:left="0"/>
              <w:jc w:val="left"/>
              <w:rPr>
                <w:sz w:val="20"/>
              </w:rPr>
            </w:pPr>
            <w:r>
              <w:rPr>
                <w:sz w:val="20"/>
              </w:rPr>
              <w:t>Review after each session.</w:t>
            </w:r>
          </w:p>
          <w:p>
            <w:pPr>
              <w:pStyle w:val="TableRowCentered"/>
              <w:ind w:left="0"/>
              <w:jc w:val="left"/>
              <w:rPr>
                <w:szCs w:val="24"/>
              </w:rPr>
            </w:pPr>
            <w:r>
              <w:rPr>
                <w:sz w:val="20"/>
              </w:rPr>
              <w:t>Follow calendar of events.</w:t>
            </w:r>
          </w:p>
        </w:tc>
      </w:tr>
      <w:tr>
        <w:trPr>
          <w:trHeight w:val="274"/>
        </w:trPr>
        <w:tc>
          <w:tcPr>
            <w:tcW w:w="1986" w:type="dxa"/>
            <w:gridSpan w:val="2"/>
            <w:tcBorders>
              <w:right w:val="single" w:sz="4" w:space="0" w:color="000000"/>
            </w:tcBorders>
            <w:shd w:val="clear" w:color="auto" w:fill="auto"/>
          </w:tcPr>
          <w:p>
            <w:pPr>
              <w:contextualSpacing/>
              <w:rPr>
                <w:rFonts w:ascii="Arial" w:hAnsi="Arial" w:cs="Arial"/>
                <w:sz w:val="20"/>
                <w:szCs w:val="20"/>
              </w:rPr>
            </w:pPr>
            <w:r>
              <w:rPr>
                <w:rFonts w:ascii="Arial" w:hAnsi="Arial" w:cs="Arial"/>
                <w:sz w:val="20"/>
                <w:szCs w:val="20"/>
              </w:rPr>
              <w:lastRenderedPageBreak/>
              <w:t>Develop extra- curricular activities timetable including after school and lunctimes</w:t>
            </w:r>
          </w:p>
        </w:tc>
        <w:tc>
          <w:tcPr>
            <w:tcW w:w="3685" w:type="dxa"/>
            <w:gridSpan w:val="6"/>
            <w:tcBorders>
              <w:right w:val="single" w:sz="4" w:space="0" w:color="000000"/>
            </w:tcBorders>
            <w:shd w:val="clear" w:color="auto" w:fill="auto"/>
          </w:tcPr>
          <w:p>
            <w:pPr>
              <w:contextualSpacing/>
              <w:rPr>
                <w:rFonts w:ascii="Arial" w:hAnsi="Arial" w:cs="Arial"/>
                <w:b/>
                <w:sz w:val="20"/>
              </w:rPr>
            </w:pPr>
            <w:r>
              <w:rPr>
                <w:rFonts w:ascii="Arial" w:hAnsi="Arial" w:cs="Arial"/>
                <w:b/>
                <w:sz w:val="20"/>
              </w:rPr>
              <w:t>D(4)  E(5)</w:t>
            </w:r>
          </w:p>
          <w:p>
            <w:pPr>
              <w:contextualSpacing/>
              <w:rPr>
                <w:rFonts w:ascii="Arial" w:hAnsi="Arial" w:cs="Arial"/>
                <w:sz w:val="20"/>
              </w:rPr>
            </w:pPr>
            <w:r>
              <w:rPr>
                <w:rFonts w:ascii="Arial" w:hAnsi="Arial" w:cs="Arial"/>
                <w:sz w:val="20"/>
              </w:rPr>
              <w:t>Improve engagement in school life and improve well being</w:t>
            </w:r>
          </w:p>
        </w:tc>
        <w:tc>
          <w:tcPr>
            <w:tcW w:w="3827" w:type="dxa"/>
            <w:gridSpan w:val="5"/>
            <w:vMerge/>
            <w:tcBorders>
              <w:right w:val="single" w:sz="4" w:space="0" w:color="000000"/>
            </w:tcBorders>
            <w:shd w:val="clear" w:color="auto" w:fill="auto"/>
          </w:tcPr>
          <w:p>
            <w:pPr>
              <w:pStyle w:val="TableRowCentered"/>
              <w:jc w:val="left"/>
              <w:rPr>
                <w:sz w:val="20"/>
              </w:rPr>
            </w:pPr>
          </w:p>
        </w:tc>
        <w:tc>
          <w:tcPr>
            <w:tcW w:w="2127" w:type="dxa"/>
            <w:tcBorders>
              <w:right w:val="single" w:sz="4" w:space="0" w:color="000000"/>
            </w:tcBorders>
            <w:shd w:val="clear" w:color="auto" w:fill="auto"/>
          </w:tcPr>
          <w:p>
            <w:pPr>
              <w:pStyle w:val="TableRowCentered"/>
              <w:ind w:left="0"/>
              <w:jc w:val="left"/>
              <w:rPr>
                <w:sz w:val="20"/>
              </w:rPr>
            </w:pPr>
            <w:r>
              <w:rPr>
                <w:sz w:val="20"/>
              </w:rPr>
              <w:t>Student Voice</w:t>
            </w:r>
          </w:p>
          <w:p>
            <w:pPr>
              <w:pStyle w:val="TableRowCentered"/>
              <w:ind w:left="0"/>
              <w:jc w:val="left"/>
              <w:rPr>
                <w:sz w:val="20"/>
              </w:rPr>
            </w:pPr>
            <w:r>
              <w:rPr>
                <w:sz w:val="20"/>
              </w:rPr>
              <w:t>Attendance of PP students to clubs</w:t>
            </w:r>
          </w:p>
          <w:p>
            <w:pPr>
              <w:pStyle w:val="TableRowCentered"/>
              <w:ind w:left="0"/>
              <w:jc w:val="left"/>
              <w:rPr>
                <w:sz w:val="20"/>
              </w:rPr>
            </w:pPr>
            <w:r>
              <w:rPr>
                <w:sz w:val="20"/>
              </w:rPr>
              <w:t>Timetable</w:t>
            </w:r>
          </w:p>
        </w:tc>
        <w:tc>
          <w:tcPr>
            <w:tcW w:w="1699" w:type="dxa"/>
            <w:gridSpan w:val="2"/>
            <w:tcBorders>
              <w:right w:val="single" w:sz="4" w:space="0" w:color="000000"/>
            </w:tcBorders>
            <w:shd w:val="clear" w:color="auto" w:fill="auto"/>
          </w:tcPr>
          <w:p>
            <w:pPr>
              <w:pStyle w:val="TableRowCentered"/>
              <w:ind w:left="0"/>
              <w:jc w:val="left"/>
              <w:rPr>
                <w:sz w:val="20"/>
              </w:rPr>
            </w:pPr>
            <w:r>
              <w:rPr>
                <w:sz w:val="20"/>
              </w:rPr>
              <w:t>AKE</w:t>
            </w:r>
          </w:p>
        </w:tc>
        <w:tc>
          <w:tcPr>
            <w:tcW w:w="1561" w:type="dxa"/>
            <w:gridSpan w:val="2"/>
            <w:tcBorders>
              <w:right w:val="single" w:sz="4" w:space="0" w:color="000000"/>
            </w:tcBorders>
            <w:shd w:val="clear" w:color="auto" w:fill="auto"/>
          </w:tcPr>
          <w:p>
            <w:pPr>
              <w:pStyle w:val="TableRowCentered"/>
              <w:ind w:left="0"/>
              <w:jc w:val="left"/>
              <w:rPr>
                <w:sz w:val="20"/>
              </w:rPr>
            </w:pPr>
            <w:r>
              <w:rPr>
                <w:sz w:val="20"/>
              </w:rPr>
              <w:t>Half termly</w:t>
            </w:r>
          </w:p>
        </w:tc>
      </w:tr>
      <w:tr>
        <w:trPr>
          <w:trHeight w:val="274"/>
        </w:trPr>
        <w:tc>
          <w:tcPr>
            <w:tcW w:w="1986" w:type="dxa"/>
            <w:gridSpan w:val="2"/>
            <w:tcBorders>
              <w:right w:val="single" w:sz="4" w:space="0" w:color="000000"/>
            </w:tcBorders>
            <w:shd w:val="clear" w:color="auto" w:fill="auto"/>
          </w:tcPr>
          <w:p>
            <w:pPr>
              <w:contextualSpacing/>
              <w:rPr>
                <w:rFonts w:ascii="Arial" w:hAnsi="Arial" w:cs="Arial"/>
                <w:sz w:val="20"/>
                <w:szCs w:val="20"/>
              </w:rPr>
            </w:pPr>
            <w:r>
              <w:rPr>
                <w:rFonts w:ascii="Arial" w:hAnsi="Arial" w:cs="Arial"/>
                <w:sz w:val="20"/>
                <w:szCs w:val="20"/>
              </w:rPr>
              <w:t>Hire two new attendance mentors to increase the capacity in attendance team for working with families.</w:t>
            </w:r>
          </w:p>
          <w:p>
            <w:pPr>
              <w:contextualSpacing/>
              <w:rPr>
                <w:rFonts w:ascii="Arial" w:hAnsi="Arial" w:cs="Arial"/>
                <w:sz w:val="20"/>
                <w:szCs w:val="20"/>
              </w:rPr>
            </w:pPr>
          </w:p>
          <w:p>
            <w:pPr>
              <w:contextualSpacing/>
              <w:rPr>
                <w:rFonts w:ascii="Arial" w:hAnsi="Arial" w:cs="Arial"/>
                <w:sz w:val="20"/>
                <w:szCs w:val="20"/>
              </w:rPr>
            </w:pPr>
            <w:r>
              <w:rPr>
                <w:rFonts w:ascii="Arial" w:hAnsi="Arial" w:cs="Arial"/>
                <w:sz w:val="20"/>
                <w:szCs w:val="20"/>
              </w:rPr>
              <w:t>Subsidise bus fayres for students to ensure pp students can attend school</w:t>
            </w:r>
          </w:p>
          <w:p>
            <w:pPr>
              <w:contextualSpacing/>
              <w:rPr>
                <w:rFonts w:ascii="Arial" w:hAnsi="Arial" w:cs="Arial"/>
                <w:sz w:val="20"/>
                <w:szCs w:val="20"/>
              </w:rPr>
            </w:pPr>
          </w:p>
          <w:p>
            <w:pPr>
              <w:contextualSpacing/>
              <w:rPr>
                <w:rFonts w:ascii="Arial" w:hAnsi="Arial" w:cs="Arial"/>
                <w:sz w:val="20"/>
                <w:szCs w:val="20"/>
              </w:rPr>
            </w:pPr>
            <w:r>
              <w:rPr>
                <w:rFonts w:ascii="Arial" w:hAnsi="Arial" w:cs="Arial"/>
                <w:sz w:val="20"/>
                <w:szCs w:val="20"/>
              </w:rPr>
              <w:lastRenderedPageBreak/>
              <w:t xml:space="preserve">Half termly attendance competitions to improve attendance </w:t>
            </w:r>
          </w:p>
          <w:p>
            <w:pPr>
              <w:contextualSpacing/>
              <w:rPr>
                <w:rFonts w:ascii="Arial" w:hAnsi="Arial" w:cs="Arial"/>
                <w:sz w:val="20"/>
                <w:szCs w:val="20"/>
              </w:rPr>
            </w:pPr>
          </w:p>
          <w:p>
            <w:pPr>
              <w:contextualSpacing/>
              <w:rPr>
                <w:rFonts w:ascii="Arial" w:hAnsi="Arial" w:cs="Arial"/>
                <w:sz w:val="20"/>
                <w:szCs w:val="20"/>
              </w:rPr>
            </w:pPr>
            <w:r>
              <w:rPr>
                <w:rFonts w:ascii="Arial" w:hAnsi="Arial" w:cs="Arial"/>
                <w:sz w:val="20"/>
                <w:szCs w:val="20"/>
              </w:rPr>
              <w:t>Increase attendance communication with parents including sending letters for low attendance</w:t>
            </w:r>
          </w:p>
          <w:p>
            <w:pPr>
              <w:contextualSpacing/>
              <w:rPr>
                <w:rFonts w:ascii="Arial" w:hAnsi="Arial" w:cs="Arial"/>
                <w:sz w:val="20"/>
                <w:szCs w:val="20"/>
              </w:rPr>
            </w:pPr>
          </w:p>
          <w:p>
            <w:pPr>
              <w:contextualSpacing/>
              <w:rPr>
                <w:rFonts w:ascii="Arial" w:hAnsi="Arial" w:cs="Arial"/>
                <w:sz w:val="20"/>
                <w:szCs w:val="20"/>
              </w:rPr>
            </w:pPr>
            <w:r>
              <w:rPr>
                <w:rFonts w:ascii="Arial" w:hAnsi="Arial" w:cs="Arial"/>
                <w:sz w:val="20"/>
                <w:szCs w:val="20"/>
              </w:rPr>
              <w:t>Parental contact for any student arrives late to school and detentions issued by year team</w:t>
            </w:r>
          </w:p>
          <w:p>
            <w:pPr>
              <w:contextualSpacing/>
              <w:rPr>
                <w:rFonts w:ascii="Arial" w:hAnsi="Arial" w:cs="Arial"/>
                <w:sz w:val="20"/>
                <w:szCs w:val="20"/>
              </w:rPr>
            </w:pPr>
          </w:p>
        </w:tc>
        <w:tc>
          <w:tcPr>
            <w:tcW w:w="3685" w:type="dxa"/>
            <w:gridSpan w:val="6"/>
            <w:tcBorders>
              <w:right w:val="single" w:sz="4" w:space="0" w:color="000000"/>
            </w:tcBorders>
            <w:shd w:val="clear" w:color="auto" w:fill="auto"/>
          </w:tcPr>
          <w:p>
            <w:pPr>
              <w:contextualSpacing/>
              <w:rPr>
                <w:rFonts w:ascii="Arial" w:hAnsi="Arial" w:cs="Arial"/>
                <w:b/>
                <w:sz w:val="20"/>
                <w:szCs w:val="20"/>
              </w:rPr>
            </w:pPr>
            <w:r>
              <w:rPr>
                <w:rFonts w:ascii="Arial" w:hAnsi="Arial" w:cs="Arial"/>
                <w:b/>
                <w:sz w:val="20"/>
                <w:szCs w:val="20"/>
              </w:rPr>
              <w:lastRenderedPageBreak/>
              <w:t>D(4)</w:t>
            </w:r>
          </w:p>
          <w:p>
            <w:pPr>
              <w:contextualSpacing/>
              <w:rPr>
                <w:rFonts w:ascii="Arial" w:hAnsi="Arial" w:cs="Arial"/>
                <w:sz w:val="20"/>
              </w:rPr>
            </w:pPr>
            <w:r>
              <w:rPr>
                <w:rFonts w:ascii="Arial" w:hAnsi="Arial" w:cs="Arial"/>
                <w:sz w:val="20"/>
              </w:rPr>
              <w:t>Reduce the percentage attendance between pp and non-pp to less than 3%</w:t>
            </w:r>
          </w:p>
          <w:p>
            <w:pPr>
              <w:contextualSpacing/>
              <w:rPr>
                <w:rFonts w:ascii="Arial" w:hAnsi="Arial" w:cs="Arial"/>
                <w:sz w:val="20"/>
              </w:rPr>
            </w:pPr>
            <w:r>
              <w:rPr>
                <w:rFonts w:ascii="Arial" w:hAnsi="Arial" w:cs="Arial"/>
                <w:sz w:val="20"/>
              </w:rPr>
              <w:t>Reduce the percentage attendance between send and other students to less than 3%</w:t>
            </w:r>
          </w:p>
          <w:p>
            <w:pPr>
              <w:contextualSpacing/>
              <w:rPr>
                <w:rFonts w:ascii="Arial" w:hAnsi="Arial" w:cs="Arial"/>
                <w:b/>
                <w:sz w:val="20"/>
              </w:rPr>
            </w:pPr>
            <w:r>
              <w:rPr>
                <w:rFonts w:ascii="Arial" w:hAnsi="Arial" w:cs="Arial"/>
                <w:sz w:val="20"/>
              </w:rPr>
              <w:t>Continue to monitor percentage attendance of EAL. At present this is higher than other students. Monitor students individually.</w:t>
            </w:r>
          </w:p>
        </w:tc>
        <w:tc>
          <w:tcPr>
            <w:tcW w:w="3827" w:type="dxa"/>
            <w:gridSpan w:val="5"/>
            <w:tcBorders>
              <w:right w:val="single" w:sz="4" w:space="0" w:color="000000"/>
            </w:tcBorders>
            <w:shd w:val="clear" w:color="auto" w:fill="auto"/>
          </w:tcPr>
          <w:p>
            <w:pPr>
              <w:pStyle w:val="TableRowCentered"/>
              <w:jc w:val="left"/>
              <w:rPr>
                <w:sz w:val="20"/>
              </w:rPr>
            </w:pPr>
            <w:r>
              <w:rPr>
                <w:sz w:val="20"/>
              </w:rPr>
              <w:t>DfE Sept21 Improving school attendance: Support for schools and local authorities states that leaders should ‘</w:t>
            </w:r>
            <w:r>
              <w:rPr>
                <w:rFonts w:cs="Arial"/>
                <w:color w:val="0B0C0C"/>
                <w:sz w:val="20"/>
                <w:shd w:val="clear" w:color="auto" w:fill="FFFFFF"/>
              </w:rPr>
              <w:t>Recognise attendance as an important area of school improvement. Make sure it is resourced appropriately (including through effective use of pupil premium funding) to create, build and maintain systems and performance’</w:t>
            </w:r>
          </w:p>
          <w:p>
            <w:pPr>
              <w:rPr>
                <w:lang w:eastAsia="en-GB"/>
              </w:rPr>
            </w:pPr>
            <w:r>
              <w:rPr>
                <w:noProof/>
                <w:lang w:eastAsia="en-GB"/>
              </w:rPr>
              <w:drawing>
                <wp:inline distT="0" distB="0" distL="0" distR="0">
                  <wp:extent cx="2292985" cy="6883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92985" cy="688340"/>
                          </a:xfrm>
                          <a:prstGeom prst="rect">
                            <a:avLst/>
                          </a:prstGeom>
                        </pic:spPr>
                      </pic:pic>
                    </a:graphicData>
                  </a:graphic>
                </wp:inline>
              </w:drawing>
            </w:r>
          </w:p>
        </w:tc>
        <w:tc>
          <w:tcPr>
            <w:tcW w:w="2127" w:type="dxa"/>
            <w:tcBorders>
              <w:right w:val="single" w:sz="4" w:space="0" w:color="000000"/>
            </w:tcBorders>
            <w:shd w:val="clear" w:color="auto" w:fill="auto"/>
          </w:tcPr>
          <w:p>
            <w:pPr>
              <w:pStyle w:val="TableRowCentered"/>
              <w:jc w:val="left"/>
              <w:rPr>
                <w:sz w:val="20"/>
              </w:rPr>
            </w:pPr>
            <w:r>
              <w:rPr>
                <w:sz w:val="20"/>
              </w:rPr>
              <w:t>Stage coach contract – Students pay 50p</w:t>
            </w:r>
          </w:p>
          <w:p>
            <w:pPr>
              <w:pStyle w:val="TableRowCentered"/>
              <w:jc w:val="left"/>
              <w:rPr>
                <w:sz w:val="20"/>
              </w:rPr>
            </w:pPr>
            <w:r>
              <w:rPr>
                <w:sz w:val="20"/>
              </w:rPr>
              <w:t>Attendance meetings</w:t>
            </w:r>
          </w:p>
          <w:p>
            <w:pPr>
              <w:pStyle w:val="TableRowCentered"/>
              <w:rPr>
                <w:sz w:val="20"/>
              </w:rPr>
            </w:pPr>
          </w:p>
          <w:p>
            <w:pPr>
              <w:pStyle w:val="TableRowCentered"/>
              <w:ind w:left="0"/>
              <w:jc w:val="left"/>
              <w:rPr>
                <w:sz w:val="20"/>
              </w:rPr>
            </w:pPr>
            <w:r>
              <w:rPr>
                <w:sz w:val="20"/>
              </w:rPr>
              <w:t>Attendance assemblies</w:t>
            </w:r>
          </w:p>
          <w:p>
            <w:pPr>
              <w:pStyle w:val="TableRowCentered"/>
              <w:ind w:left="0"/>
              <w:jc w:val="left"/>
              <w:rPr>
                <w:sz w:val="20"/>
              </w:rPr>
            </w:pPr>
          </w:p>
          <w:p>
            <w:pPr>
              <w:pStyle w:val="TableRowCentered"/>
              <w:ind w:left="0"/>
              <w:jc w:val="left"/>
              <w:rPr>
                <w:sz w:val="20"/>
              </w:rPr>
            </w:pPr>
            <w:r>
              <w:rPr>
                <w:sz w:val="20"/>
              </w:rPr>
              <w:t>Attendance communication with parents</w:t>
            </w:r>
          </w:p>
          <w:p>
            <w:pPr>
              <w:pStyle w:val="TableRowCentered"/>
              <w:ind w:left="0"/>
              <w:jc w:val="left"/>
              <w:rPr>
                <w:sz w:val="20"/>
              </w:rPr>
            </w:pPr>
          </w:p>
          <w:p>
            <w:pPr>
              <w:pStyle w:val="TableRowCentered"/>
              <w:ind w:left="0"/>
              <w:jc w:val="left"/>
              <w:rPr>
                <w:sz w:val="20"/>
              </w:rPr>
            </w:pPr>
            <w:r>
              <w:rPr>
                <w:sz w:val="20"/>
              </w:rPr>
              <w:lastRenderedPageBreak/>
              <w:t xml:space="preserve">Parent App communication. </w:t>
            </w:r>
          </w:p>
          <w:p>
            <w:pPr>
              <w:pStyle w:val="TableRowCentered"/>
              <w:jc w:val="left"/>
              <w:rPr>
                <w:sz w:val="20"/>
              </w:rPr>
            </w:pPr>
            <w:r>
              <w:rPr>
                <w:sz w:val="20"/>
              </w:rPr>
              <w:t>Parent letters</w:t>
            </w:r>
          </w:p>
          <w:p>
            <w:pPr>
              <w:pStyle w:val="TableRowCentered"/>
              <w:jc w:val="left"/>
              <w:rPr>
                <w:sz w:val="20"/>
              </w:rPr>
            </w:pPr>
            <w:r>
              <w:rPr>
                <w:sz w:val="20"/>
              </w:rPr>
              <w:t>Attendance target groups</w:t>
            </w:r>
          </w:p>
          <w:p>
            <w:pPr>
              <w:pStyle w:val="TableRowCentered"/>
              <w:jc w:val="left"/>
              <w:rPr>
                <w:sz w:val="20"/>
              </w:rPr>
            </w:pPr>
          </w:p>
          <w:p>
            <w:pPr>
              <w:pStyle w:val="TableRowCentered"/>
              <w:ind w:left="0"/>
              <w:jc w:val="both"/>
              <w:rPr>
                <w:sz w:val="20"/>
              </w:rPr>
            </w:pPr>
            <w:r>
              <w:rPr>
                <w:sz w:val="20"/>
              </w:rPr>
              <w:t>Lates detention list – classcharts</w:t>
            </w:r>
          </w:p>
        </w:tc>
        <w:tc>
          <w:tcPr>
            <w:tcW w:w="1699" w:type="dxa"/>
            <w:gridSpan w:val="2"/>
            <w:tcBorders>
              <w:right w:val="single" w:sz="4" w:space="0" w:color="000000"/>
            </w:tcBorders>
            <w:shd w:val="clear" w:color="auto" w:fill="auto"/>
          </w:tcPr>
          <w:p>
            <w:pPr>
              <w:pStyle w:val="TableRowCentered"/>
              <w:ind w:left="0"/>
              <w:jc w:val="left"/>
              <w:rPr>
                <w:sz w:val="20"/>
              </w:rPr>
            </w:pPr>
            <w:r>
              <w:rPr>
                <w:sz w:val="20"/>
              </w:rPr>
              <w:lastRenderedPageBreak/>
              <w:t>PMC</w:t>
            </w:r>
          </w:p>
        </w:tc>
        <w:tc>
          <w:tcPr>
            <w:tcW w:w="1561" w:type="dxa"/>
            <w:gridSpan w:val="2"/>
            <w:tcBorders>
              <w:right w:val="single" w:sz="4" w:space="0" w:color="000000"/>
            </w:tcBorders>
            <w:shd w:val="clear" w:color="auto" w:fill="auto"/>
          </w:tcPr>
          <w:p>
            <w:pPr>
              <w:pStyle w:val="TableRowCentered"/>
              <w:ind w:left="0"/>
              <w:jc w:val="left"/>
              <w:rPr>
                <w:sz w:val="20"/>
              </w:rPr>
            </w:pPr>
            <w:r>
              <w:rPr>
                <w:sz w:val="20"/>
              </w:rPr>
              <w:t>Daily</w:t>
            </w:r>
          </w:p>
          <w:p>
            <w:pPr>
              <w:pStyle w:val="TableRowCentered"/>
              <w:ind w:left="0"/>
              <w:jc w:val="left"/>
              <w:rPr>
                <w:sz w:val="20"/>
              </w:rPr>
            </w:pPr>
            <w:r>
              <w:rPr>
                <w:sz w:val="20"/>
              </w:rPr>
              <w:t>Weekly</w:t>
            </w:r>
          </w:p>
          <w:p>
            <w:pPr>
              <w:pStyle w:val="TableRowCentered"/>
              <w:ind w:left="0"/>
              <w:jc w:val="left"/>
              <w:rPr>
                <w:sz w:val="20"/>
              </w:rPr>
            </w:pPr>
            <w:r>
              <w:rPr>
                <w:sz w:val="20"/>
              </w:rPr>
              <w:t>Half termly</w:t>
            </w:r>
          </w:p>
        </w:tc>
      </w:tr>
      <w:tr>
        <w:trPr>
          <w:trHeight w:val="274"/>
        </w:trPr>
        <w:tc>
          <w:tcPr>
            <w:tcW w:w="1986" w:type="dxa"/>
            <w:gridSpan w:val="2"/>
            <w:tcBorders>
              <w:right w:val="single" w:sz="4" w:space="0" w:color="000000"/>
            </w:tcBorders>
            <w:shd w:val="clear" w:color="auto" w:fill="auto"/>
          </w:tcPr>
          <w:p>
            <w:pPr>
              <w:contextualSpacing/>
              <w:rPr>
                <w:rFonts w:ascii="Arial" w:hAnsi="Arial" w:cs="Arial"/>
                <w:sz w:val="20"/>
                <w:szCs w:val="20"/>
              </w:rPr>
            </w:pPr>
            <w:r>
              <w:rPr>
                <w:rFonts w:ascii="Arial" w:hAnsi="Arial" w:cs="Arial"/>
                <w:sz w:val="20"/>
                <w:szCs w:val="20"/>
              </w:rPr>
              <w:lastRenderedPageBreak/>
              <w:t>AHT to find adult literacy and numeracy courses for parents who are low level.</w:t>
            </w:r>
          </w:p>
        </w:tc>
        <w:tc>
          <w:tcPr>
            <w:tcW w:w="3685" w:type="dxa"/>
            <w:gridSpan w:val="6"/>
            <w:tcBorders>
              <w:right w:val="single" w:sz="4" w:space="0" w:color="000000"/>
            </w:tcBorders>
            <w:shd w:val="clear" w:color="auto" w:fill="auto"/>
          </w:tcPr>
          <w:p>
            <w:pPr>
              <w:contextualSpacing/>
              <w:rPr>
                <w:rFonts w:ascii="Arial" w:hAnsi="Arial" w:cs="Arial"/>
                <w:sz w:val="20"/>
                <w:szCs w:val="20"/>
              </w:rPr>
            </w:pPr>
            <w:r>
              <w:rPr>
                <w:rFonts w:ascii="Arial" w:hAnsi="Arial" w:cs="Arial"/>
                <w:sz w:val="20"/>
                <w:szCs w:val="20"/>
              </w:rPr>
              <w:t>Parents can confidently support their children with learning and have positive interactions with school</w:t>
            </w:r>
          </w:p>
        </w:tc>
        <w:tc>
          <w:tcPr>
            <w:tcW w:w="3827" w:type="dxa"/>
            <w:gridSpan w:val="5"/>
            <w:tcBorders>
              <w:right w:val="single" w:sz="4" w:space="0" w:color="000000"/>
            </w:tcBorders>
            <w:shd w:val="clear" w:color="auto" w:fill="auto"/>
          </w:tcPr>
          <w:p>
            <w:pPr>
              <w:pStyle w:val="TableRowCentered"/>
              <w:jc w:val="left"/>
              <w:rPr>
                <w:sz w:val="20"/>
              </w:rPr>
            </w:pPr>
            <w:r>
              <w:rPr>
                <w:sz w:val="20"/>
              </w:rPr>
              <w:t>Parental engagement has a positive impact on average of 4 months’ additional progress. It is crucial to consider how to engage with all parents to avoid widening attainment gaps (EEF Techer Toolkit)</w:t>
            </w:r>
          </w:p>
        </w:tc>
        <w:tc>
          <w:tcPr>
            <w:tcW w:w="2127" w:type="dxa"/>
            <w:tcBorders>
              <w:right w:val="single" w:sz="4" w:space="0" w:color="000000"/>
            </w:tcBorders>
            <w:shd w:val="clear" w:color="auto" w:fill="auto"/>
          </w:tcPr>
          <w:p>
            <w:pPr>
              <w:pStyle w:val="TableRowCentered"/>
              <w:jc w:val="left"/>
              <w:rPr>
                <w:sz w:val="20"/>
              </w:rPr>
            </w:pPr>
            <w:r>
              <w:rPr>
                <w:sz w:val="20"/>
              </w:rPr>
              <w:t>Attendance</w:t>
            </w:r>
          </w:p>
          <w:p>
            <w:pPr>
              <w:pStyle w:val="TableRowCentered"/>
              <w:jc w:val="left"/>
              <w:rPr>
                <w:sz w:val="20"/>
              </w:rPr>
            </w:pPr>
          </w:p>
          <w:p>
            <w:pPr>
              <w:pStyle w:val="TableRowCentered"/>
              <w:jc w:val="left"/>
              <w:rPr>
                <w:sz w:val="20"/>
              </w:rPr>
            </w:pPr>
            <w:r>
              <w:rPr>
                <w:sz w:val="20"/>
              </w:rPr>
              <w:t>Reduced behaviour points of students</w:t>
            </w:r>
          </w:p>
        </w:tc>
        <w:tc>
          <w:tcPr>
            <w:tcW w:w="1699" w:type="dxa"/>
            <w:gridSpan w:val="2"/>
            <w:tcBorders>
              <w:right w:val="single" w:sz="4" w:space="0" w:color="000000"/>
            </w:tcBorders>
            <w:shd w:val="clear" w:color="auto" w:fill="auto"/>
          </w:tcPr>
          <w:p>
            <w:pPr>
              <w:pStyle w:val="TableRowCentered"/>
              <w:ind w:left="0"/>
              <w:jc w:val="left"/>
              <w:rPr>
                <w:sz w:val="20"/>
              </w:rPr>
            </w:pPr>
            <w:r>
              <w:rPr>
                <w:sz w:val="20"/>
              </w:rPr>
              <w:t>JRI</w:t>
            </w:r>
          </w:p>
        </w:tc>
        <w:tc>
          <w:tcPr>
            <w:tcW w:w="1561" w:type="dxa"/>
            <w:gridSpan w:val="2"/>
            <w:tcBorders>
              <w:right w:val="single" w:sz="4" w:space="0" w:color="000000"/>
            </w:tcBorders>
            <w:shd w:val="clear" w:color="auto" w:fill="auto"/>
          </w:tcPr>
          <w:p>
            <w:pPr>
              <w:pStyle w:val="TableRowCentered"/>
              <w:ind w:left="0"/>
              <w:jc w:val="left"/>
              <w:rPr>
                <w:sz w:val="20"/>
              </w:rPr>
            </w:pPr>
            <w:r>
              <w:rPr>
                <w:sz w:val="20"/>
              </w:rPr>
              <w:t>Spring term</w:t>
            </w:r>
          </w:p>
        </w:tc>
      </w:tr>
      <w:tr>
        <w:trPr>
          <w:trHeight w:val="274"/>
        </w:trPr>
        <w:tc>
          <w:tcPr>
            <w:tcW w:w="1986" w:type="dxa"/>
            <w:gridSpan w:val="2"/>
            <w:tcBorders>
              <w:right w:val="single" w:sz="4" w:space="0" w:color="000000"/>
            </w:tcBorders>
            <w:shd w:val="clear" w:color="auto" w:fill="auto"/>
          </w:tcPr>
          <w:p>
            <w:pPr>
              <w:contextualSpacing/>
              <w:rPr>
                <w:rFonts w:ascii="Arial" w:hAnsi="Arial" w:cs="Arial"/>
                <w:sz w:val="20"/>
                <w:szCs w:val="20"/>
              </w:rPr>
            </w:pPr>
            <w:r>
              <w:rPr>
                <w:rFonts w:ascii="Arial" w:hAnsi="Arial" w:cs="Arial"/>
                <w:sz w:val="20"/>
                <w:szCs w:val="20"/>
              </w:rPr>
              <w:t>Create school leadership team to create positive ethos around school and contribute to student voice</w:t>
            </w:r>
          </w:p>
        </w:tc>
        <w:tc>
          <w:tcPr>
            <w:tcW w:w="3685" w:type="dxa"/>
            <w:gridSpan w:val="6"/>
            <w:tcBorders>
              <w:right w:val="single" w:sz="4" w:space="0" w:color="000000"/>
            </w:tcBorders>
            <w:shd w:val="clear" w:color="auto" w:fill="auto"/>
          </w:tcPr>
          <w:p>
            <w:pPr>
              <w:contextualSpacing/>
              <w:rPr>
                <w:rFonts w:ascii="Arial" w:hAnsi="Arial" w:cs="Arial"/>
                <w:sz w:val="20"/>
                <w:szCs w:val="20"/>
              </w:rPr>
            </w:pPr>
            <w:r>
              <w:rPr>
                <w:rFonts w:ascii="Arial" w:hAnsi="Arial" w:cs="Arial"/>
                <w:sz w:val="20"/>
                <w:szCs w:val="20"/>
              </w:rPr>
              <w:t>Prefects, senior prefects and head boy/ girl and deputy head boy/ girl appointed and are great role models of the Kirkby child.</w:t>
            </w:r>
          </w:p>
          <w:p>
            <w:pPr>
              <w:contextualSpacing/>
              <w:rPr>
                <w:rFonts w:ascii="Arial" w:hAnsi="Arial" w:cs="Arial"/>
                <w:sz w:val="20"/>
                <w:szCs w:val="20"/>
              </w:rPr>
            </w:pPr>
          </w:p>
          <w:p>
            <w:pPr>
              <w:contextualSpacing/>
              <w:rPr>
                <w:rFonts w:ascii="Arial" w:hAnsi="Arial" w:cs="Arial"/>
                <w:sz w:val="20"/>
                <w:szCs w:val="20"/>
              </w:rPr>
            </w:pPr>
            <w:r>
              <w:rPr>
                <w:rFonts w:ascii="Arial" w:hAnsi="Arial" w:cs="Arial"/>
                <w:sz w:val="20"/>
                <w:szCs w:val="20"/>
              </w:rPr>
              <w:t>Improved student voice</w:t>
            </w:r>
          </w:p>
          <w:p>
            <w:pPr>
              <w:contextualSpacing/>
              <w:rPr>
                <w:rFonts w:ascii="Arial" w:hAnsi="Arial" w:cs="Arial"/>
                <w:sz w:val="20"/>
                <w:szCs w:val="20"/>
              </w:rPr>
            </w:pPr>
          </w:p>
          <w:p>
            <w:pPr>
              <w:contextualSpacing/>
              <w:rPr>
                <w:rFonts w:ascii="Arial" w:hAnsi="Arial" w:cs="Arial"/>
                <w:sz w:val="20"/>
                <w:szCs w:val="20"/>
              </w:rPr>
            </w:pPr>
            <w:r>
              <w:rPr>
                <w:rFonts w:ascii="Arial" w:hAnsi="Arial" w:cs="Arial"/>
                <w:sz w:val="20"/>
                <w:szCs w:val="20"/>
              </w:rPr>
              <w:t>Positive behaviours stay above 97%</w:t>
            </w:r>
          </w:p>
        </w:tc>
        <w:tc>
          <w:tcPr>
            <w:tcW w:w="3827" w:type="dxa"/>
            <w:gridSpan w:val="5"/>
            <w:tcBorders>
              <w:right w:val="single" w:sz="4" w:space="0" w:color="000000"/>
            </w:tcBorders>
            <w:shd w:val="clear" w:color="auto" w:fill="auto"/>
          </w:tcPr>
          <w:p>
            <w:pPr>
              <w:pStyle w:val="TableRowCentered"/>
              <w:jc w:val="left"/>
              <w:rPr>
                <w:sz w:val="20"/>
              </w:rPr>
            </w:pPr>
            <w:r>
              <w:rPr>
                <w:noProof/>
              </w:rPr>
              <w:drawing>
                <wp:inline distT="0" distB="0" distL="0" distR="0">
                  <wp:extent cx="2194560" cy="65150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01283" cy="653497"/>
                          </a:xfrm>
                          <a:prstGeom prst="rect">
                            <a:avLst/>
                          </a:prstGeom>
                        </pic:spPr>
                      </pic:pic>
                    </a:graphicData>
                  </a:graphic>
                </wp:inline>
              </w:drawing>
            </w:r>
          </w:p>
          <w:p>
            <w:pPr>
              <w:rPr>
                <w:lang w:eastAsia="en-GB"/>
              </w:rPr>
            </w:pPr>
            <w:r>
              <w:rPr>
                <w:noProof/>
                <w:lang w:eastAsia="en-GB"/>
              </w:rPr>
              <w:drawing>
                <wp:inline distT="0" distB="0" distL="0" distR="0">
                  <wp:extent cx="2292985" cy="6883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92985" cy="688340"/>
                          </a:xfrm>
                          <a:prstGeom prst="rect">
                            <a:avLst/>
                          </a:prstGeom>
                        </pic:spPr>
                      </pic:pic>
                    </a:graphicData>
                  </a:graphic>
                </wp:inline>
              </w:drawing>
            </w:r>
          </w:p>
        </w:tc>
        <w:tc>
          <w:tcPr>
            <w:tcW w:w="2127" w:type="dxa"/>
            <w:tcBorders>
              <w:right w:val="single" w:sz="4" w:space="0" w:color="000000"/>
            </w:tcBorders>
            <w:shd w:val="clear" w:color="auto" w:fill="auto"/>
          </w:tcPr>
          <w:p>
            <w:pPr>
              <w:pStyle w:val="TableRowCentered"/>
              <w:jc w:val="left"/>
              <w:rPr>
                <w:sz w:val="20"/>
              </w:rPr>
            </w:pPr>
          </w:p>
        </w:tc>
        <w:tc>
          <w:tcPr>
            <w:tcW w:w="1699" w:type="dxa"/>
            <w:gridSpan w:val="2"/>
            <w:tcBorders>
              <w:right w:val="single" w:sz="4" w:space="0" w:color="000000"/>
            </w:tcBorders>
            <w:shd w:val="clear" w:color="auto" w:fill="auto"/>
          </w:tcPr>
          <w:p>
            <w:pPr>
              <w:pStyle w:val="TableRowCentered"/>
              <w:ind w:left="0"/>
              <w:jc w:val="left"/>
              <w:rPr>
                <w:sz w:val="20"/>
              </w:rPr>
            </w:pPr>
          </w:p>
        </w:tc>
        <w:tc>
          <w:tcPr>
            <w:tcW w:w="1561" w:type="dxa"/>
            <w:gridSpan w:val="2"/>
            <w:tcBorders>
              <w:right w:val="single" w:sz="4" w:space="0" w:color="000000"/>
            </w:tcBorders>
            <w:shd w:val="clear" w:color="auto" w:fill="auto"/>
          </w:tcPr>
          <w:p>
            <w:pPr>
              <w:pStyle w:val="TableRowCentered"/>
              <w:ind w:left="0"/>
              <w:jc w:val="left"/>
              <w:rPr>
                <w:sz w:val="20"/>
              </w:rPr>
            </w:pPr>
          </w:p>
        </w:tc>
      </w:tr>
      <w:tr>
        <w:trPr>
          <w:trHeight w:val="58"/>
        </w:trPr>
        <w:tc>
          <w:tcPr>
            <w:tcW w:w="11625" w:type="dxa"/>
            <w:gridSpan w:val="14"/>
            <w:tcBorders>
              <w:right w:val="single" w:sz="4" w:space="0" w:color="000000"/>
            </w:tcBorders>
            <w:shd w:val="clear" w:color="auto" w:fill="DEEAF6" w:themeFill="accent1" w:themeFillTint="33"/>
          </w:tcPr>
          <w:p>
            <w:pPr>
              <w:pStyle w:val="TableRowCentered"/>
              <w:ind w:left="0"/>
              <w:jc w:val="right"/>
              <w:rPr>
                <w:b/>
                <w:szCs w:val="24"/>
              </w:rPr>
            </w:pPr>
            <w:r>
              <w:rPr>
                <w:b/>
              </w:rPr>
              <w:t>Total budgeted cost</w:t>
            </w:r>
          </w:p>
        </w:tc>
        <w:tc>
          <w:tcPr>
            <w:tcW w:w="3260" w:type="dxa"/>
            <w:gridSpan w:val="4"/>
            <w:tcBorders>
              <w:right w:val="single" w:sz="4" w:space="0" w:color="000000"/>
            </w:tcBorders>
            <w:shd w:val="clear" w:color="auto" w:fill="auto"/>
          </w:tcPr>
          <w:p>
            <w:pPr>
              <w:pStyle w:val="TableRowCentered"/>
              <w:ind w:left="0"/>
              <w:jc w:val="left"/>
              <w:rPr>
                <w:b/>
                <w:szCs w:val="24"/>
              </w:rPr>
            </w:pPr>
            <w:r>
              <w:rPr>
                <w:b/>
                <w:szCs w:val="24"/>
              </w:rPr>
              <w:t>£228 933</w:t>
            </w:r>
          </w:p>
        </w:tc>
      </w:tr>
    </w:tbl>
    <w:p/>
    <w:p/>
    <w:p/>
    <w:p/>
    <w:tbl>
      <w:tblPr>
        <w:tblStyle w:val="TableGrid"/>
        <w:tblW w:w="14885" w:type="dxa"/>
        <w:tblInd w:w="-431" w:type="dxa"/>
        <w:tblLayout w:type="fixed"/>
        <w:tblLook w:val="04A0" w:firstRow="1" w:lastRow="0" w:firstColumn="1" w:lastColumn="0" w:noHBand="0" w:noVBand="1"/>
      </w:tblPr>
      <w:tblGrid>
        <w:gridCol w:w="4254"/>
        <w:gridCol w:w="1700"/>
        <w:gridCol w:w="2977"/>
        <w:gridCol w:w="2977"/>
        <w:gridCol w:w="2977"/>
      </w:tblGrid>
      <w:tr>
        <w:trPr>
          <w:trHeight w:val="58"/>
        </w:trPr>
        <w:tc>
          <w:tcPr>
            <w:tcW w:w="14885" w:type="dxa"/>
            <w:gridSpan w:val="5"/>
            <w:tcBorders>
              <w:right w:val="single" w:sz="4" w:space="0" w:color="000000"/>
            </w:tcBorders>
            <w:shd w:val="clear" w:color="auto" w:fill="DEEAF6" w:themeFill="accent1" w:themeFillTint="33"/>
          </w:tcPr>
          <w:p>
            <w:pPr>
              <w:pStyle w:val="TableRowCentered"/>
              <w:ind w:left="0"/>
              <w:jc w:val="left"/>
              <w:rPr>
                <w:b/>
                <w:szCs w:val="24"/>
              </w:rPr>
            </w:pPr>
            <w:r>
              <w:rPr>
                <w:b/>
              </w:rPr>
              <w:t>6. Review of expenditure</w:t>
            </w:r>
          </w:p>
        </w:tc>
      </w:tr>
      <w:tr>
        <w:trPr>
          <w:trHeight w:val="58"/>
        </w:trPr>
        <w:tc>
          <w:tcPr>
            <w:tcW w:w="14885" w:type="dxa"/>
            <w:gridSpan w:val="5"/>
            <w:tcBorders>
              <w:right w:val="single" w:sz="4" w:space="0" w:color="000000"/>
            </w:tcBorders>
            <w:shd w:val="clear" w:color="auto" w:fill="DEEAF6" w:themeFill="accent1" w:themeFillTint="33"/>
          </w:tcPr>
          <w:p>
            <w:pPr>
              <w:pStyle w:val="TableRowCentered"/>
              <w:ind w:left="0"/>
              <w:jc w:val="left"/>
              <w:rPr>
                <w:b/>
                <w:szCs w:val="24"/>
              </w:rPr>
            </w:pPr>
            <w:r>
              <w:rPr>
                <w:b/>
              </w:rPr>
              <w:t>Previous Academic Year</w:t>
            </w:r>
          </w:p>
        </w:tc>
      </w:tr>
      <w:tr>
        <w:trPr>
          <w:trHeight w:val="58"/>
        </w:trPr>
        <w:tc>
          <w:tcPr>
            <w:tcW w:w="14885" w:type="dxa"/>
            <w:gridSpan w:val="5"/>
            <w:tcBorders>
              <w:right w:val="single" w:sz="4" w:space="0" w:color="000000"/>
            </w:tcBorders>
            <w:shd w:val="clear" w:color="auto" w:fill="DEEAF6" w:themeFill="accent1" w:themeFillTint="33"/>
          </w:tcPr>
          <w:p>
            <w:pPr>
              <w:pStyle w:val="TableRowCentered"/>
              <w:ind w:left="0"/>
              <w:jc w:val="left"/>
              <w:rPr>
                <w:b/>
                <w:color w:val="C45911" w:themeColor="accent2" w:themeShade="BF"/>
                <w:szCs w:val="24"/>
              </w:rPr>
            </w:pPr>
            <w:r>
              <w:rPr>
                <w:b/>
                <w:color w:val="7030A0"/>
                <w:szCs w:val="24"/>
              </w:rPr>
              <w:t xml:space="preserve">Quality Teaching For All  </w:t>
            </w:r>
          </w:p>
        </w:tc>
      </w:tr>
      <w:tr>
        <w:trPr>
          <w:trHeight w:val="58"/>
        </w:trPr>
        <w:tc>
          <w:tcPr>
            <w:tcW w:w="4254" w:type="dxa"/>
            <w:tcBorders>
              <w:right w:val="single" w:sz="4" w:space="0" w:color="000000"/>
            </w:tcBorders>
            <w:shd w:val="clear" w:color="auto" w:fill="auto"/>
          </w:tcPr>
          <w:p>
            <w:pPr>
              <w:pStyle w:val="TableRowCentered"/>
              <w:ind w:left="0"/>
              <w:jc w:val="left"/>
              <w:rPr>
                <w:b/>
                <w:szCs w:val="24"/>
              </w:rPr>
            </w:pPr>
            <w:r>
              <w:rPr>
                <w:b/>
                <w:szCs w:val="24"/>
              </w:rPr>
              <w:t>Actions</w:t>
            </w:r>
          </w:p>
          <w:p>
            <w:pPr>
              <w:pStyle w:val="TableRowCentered"/>
              <w:ind w:left="0"/>
              <w:jc w:val="left"/>
              <w:rPr>
                <w:b/>
                <w:szCs w:val="24"/>
              </w:rPr>
            </w:pPr>
            <w:r>
              <w:rPr>
                <w:b/>
                <w:szCs w:val="24"/>
              </w:rPr>
              <w:t>(Copied from strategy 2020-2021)</w:t>
            </w:r>
          </w:p>
        </w:tc>
        <w:tc>
          <w:tcPr>
            <w:tcW w:w="1700" w:type="dxa"/>
            <w:tcBorders>
              <w:right w:val="single" w:sz="4" w:space="0" w:color="000000"/>
            </w:tcBorders>
            <w:shd w:val="clear" w:color="auto" w:fill="auto"/>
          </w:tcPr>
          <w:p>
            <w:pPr>
              <w:pStyle w:val="TableRowCentered"/>
              <w:ind w:left="0"/>
              <w:jc w:val="left"/>
              <w:rPr>
                <w:b/>
                <w:szCs w:val="24"/>
              </w:rPr>
            </w:pPr>
            <w:r>
              <w:rPr>
                <w:b/>
                <w:szCs w:val="24"/>
              </w:rPr>
              <w:t>Intended Outcome</w:t>
            </w:r>
          </w:p>
          <w:p>
            <w:pPr>
              <w:pStyle w:val="TableRowCentered"/>
              <w:ind w:left="0"/>
              <w:jc w:val="left"/>
              <w:rPr>
                <w:b/>
                <w:szCs w:val="24"/>
              </w:rPr>
            </w:pPr>
            <w:r>
              <w:rPr>
                <w:b/>
                <w:szCs w:val="24"/>
              </w:rPr>
              <w:t>(KPT Aug21 from strategy</w:t>
            </w:r>
          </w:p>
        </w:tc>
        <w:tc>
          <w:tcPr>
            <w:tcW w:w="2977" w:type="dxa"/>
            <w:tcBorders>
              <w:right w:val="single" w:sz="4" w:space="0" w:color="000000"/>
            </w:tcBorders>
            <w:shd w:val="clear" w:color="auto" w:fill="auto"/>
          </w:tcPr>
          <w:p>
            <w:pPr>
              <w:pStyle w:val="TableRowCentered"/>
              <w:ind w:left="0"/>
              <w:jc w:val="left"/>
              <w:rPr>
                <w:b/>
                <w:szCs w:val="24"/>
              </w:rPr>
            </w:pPr>
            <w:r>
              <w:rPr>
                <w:b/>
                <w:szCs w:val="24"/>
              </w:rPr>
              <w:t>Estimated Impact</w:t>
            </w:r>
          </w:p>
          <w:p>
            <w:pPr>
              <w:pStyle w:val="TableRowCentered"/>
              <w:ind w:left="0"/>
              <w:jc w:val="left"/>
              <w:rPr>
                <w:b/>
                <w:szCs w:val="24"/>
              </w:rPr>
            </w:pPr>
          </w:p>
          <w:p>
            <w:pPr>
              <w:pStyle w:val="TableRowCentered"/>
              <w:ind w:left="0"/>
              <w:jc w:val="left"/>
              <w:rPr>
                <w:b/>
                <w:szCs w:val="24"/>
              </w:rPr>
            </w:pPr>
            <w:r>
              <w:rPr>
                <w:b/>
                <w:szCs w:val="24"/>
              </w:rPr>
              <w:t>(Impact compared to KPT)</w:t>
            </w:r>
          </w:p>
        </w:tc>
        <w:tc>
          <w:tcPr>
            <w:tcW w:w="2977" w:type="dxa"/>
            <w:tcBorders>
              <w:right w:val="single" w:sz="4" w:space="0" w:color="000000"/>
            </w:tcBorders>
            <w:shd w:val="clear" w:color="auto" w:fill="auto"/>
          </w:tcPr>
          <w:p>
            <w:pPr>
              <w:pStyle w:val="TableRowCentered"/>
              <w:ind w:left="0"/>
              <w:jc w:val="left"/>
              <w:rPr>
                <w:b/>
                <w:szCs w:val="24"/>
              </w:rPr>
            </w:pPr>
            <w:r>
              <w:rPr>
                <w:b/>
                <w:szCs w:val="24"/>
              </w:rPr>
              <w:t>Lessons Learned</w:t>
            </w:r>
          </w:p>
        </w:tc>
        <w:tc>
          <w:tcPr>
            <w:tcW w:w="2977" w:type="dxa"/>
            <w:tcBorders>
              <w:right w:val="single" w:sz="4" w:space="0" w:color="000000"/>
            </w:tcBorders>
            <w:shd w:val="clear" w:color="auto" w:fill="auto"/>
          </w:tcPr>
          <w:p>
            <w:pPr>
              <w:pStyle w:val="TableRowCentered"/>
              <w:ind w:left="0"/>
              <w:jc w:val="left"/>
              <w:rPr>
                <w:b/>
                <w:szCs w:val="24"/>
              </w:rPr>
            </w:pPr>
            <w:r>
              <w:rPr>
                <w:b/>
                <w:szCs w:val="24"/>
              </w:rPr>
              <w:t>Cost</w:t>
            </w:r>
          </w:p>
        </w:tc>
      </w:tr>
      <w:tr>
        <w:trPr>
          <w:trHeight w:val="58"/>
        </w:trPr>
        <w:tc>
          <w:tcPr>
            <w:tcW w:w="4254" w:type="dxa"/>
            <w:tcBorders>
              <w:right w:val="single" w:sz="4" w:space="0" w:color="000000"/>
            </w:tcBorders>
            <w:shd w:val="clear" w:color="auto" w:fill="auto"/>
          </w:tcPr>
          <w:p>
            <w:pPr>
              <w:numPr>
                <w:ilvl w:val="0"/>
                <w:numId w:val="16"/>
              </w:numPr>
              <w:contextualSpacing/>
              <w:rPr>
                <w:rFonts w:cstheme="minorHAnsi"/>
                <w:sz w:val="20"/>
                <w:szCs w:val="20"/>
              </w:rPr>
            </w:pPr>
            <w:r>
              <w:rPr>
                <w:rFonts w:cstheme="minorHAnsi"/>
                <w:sz w:val="20"/>
                <w:szCs w:val="20"/>
              </w:rPr>
              <w:t xml:space="preserve">KS3 school day changed to incorporate 20 minute lessons for extended writing (Sept20) </w:t>
            </w:r>
          </w:p>
          <w:p>
            <w:pPr>
              <w:numPr>
                <w:ilvl w:val="0"/>
                <w:numId w:val="16"/>
              </w:numPr>
              <w:contextualSpacing/>
              <w:rPr>
                <w:rFonts w:cstheme="minorHAnsi"/>
                <w:sz w:val="20"/>
                <w:szCs w:val="20"/>
              </w:rPr>
            </w:pPr>
            <w:r>
              <w:rPr>
                <w:rFonts w:cstheme="minorHAnsi"/>
                <w:sz w:val="20"/>
                <w:szCs w:val="20"/>
              </w:rPr>
              <w:t>Provide CPD for staff on subject specific extended writing. Provide staff with time in faculties / departments to develop extended writing. (Term 1)</w:t>
            </w:r>
          </w:p>
          <w:p>
            <w:pPr>
              <w:numPr>
                <w:ilvl w:val="0"/>
                <w:numId w:val="16"/>
              </w:numPr>
              <w:autoSpaceDE w:val="0"/>
              <w:autoSpaceDN w:val="0"/>
              <w:adjustRightInd w:val="0"/>
              <w:contextualSpacing/>
              <w:rPr>
                <w:rFonts w:cstheme="minorHAnsi"/>
                <w:sz w:val="20"/>
                <w:szCs w:val="20"/>
              </w:rPr>
            </w:pPr>
            <w:r>
              <w:rPr>
                <w:rFonts w:cstheme="minorHAnsi"/>
                <w:sz w:val="20"/>
                <w:szCs w:val="20"/>
              </w:rPr>
              <w:t xml:space="preserve">School day changed to accommodate extended form time to improve confidence and develop oracy (Sept20) </w:t>
            </w:r>
          </w:p>
          <w:p>
            <w:pPr>
              <w:numPr>
                <w:ilvl w:val="0"/>
                <w:numId w:val="16"/>
              </w:numPr>
              <w:autoSpaceDE w:val="0"/>
              <w:autoSpaceDN w:val="0"/>
              <w:adjustRightInd w:val="0"/>
              <w:contextualSpacing/>
              <w:rPr>
                <w:rFonts w:cstheme="minorHAnsi"/>
                <w:sz w:val="20"/>
                <w:szCs w:val="20"/>
              </w:rPr>
            </w:pPr>
            <w:r>
              <w:rPr>
                <w:rFonts w:cstheme="minorHAnsi"/>
                <w:sz w:val="20"/>
                <w:szCs w:val="20"/>
              </w:rPr>
              <w:t xml:space="preserve">PSHE timetable incorporated in to extended form time (Sept20) </w:t>
            </w:r>
          </w:p>
          <w:p>
            <w:pPr>
              <w:numPr>
                <w:ilvl w:val="0"/>
                <w:numId w:val="16"/>
              </w:numPr>
              <w:autoSpaceDE w:val="0"/>
              <w:autoSpaceDN w:val="0"/>
              <w:adjustRightInd w:val="0"/>
              <w:contextualSpacing/>
              <w:rPr>
                <w:rFonts w:cstheme="minorHAnsi"/>
                <w:sz w:val="20"/>
                <w:szCs w:val="20"/>
              </w:rPr>
            </w:pPr>
            <w:r>
              <w:rPr>
                <w:rFonts w:cstheme="minorHAnsi"/>
                <w:sz w:val="20"/>
                <w:szCs w:val="20"/>
              </w:rPr>
              <w:t>Compulsory reflective Fridays for students to develop oracy and discuss (SDU)</w:t>
            </w:r>
          </w:p>
          <w:p>
            <w:pPr>
              <w:numPr>
                <w:ilvl w:val="0"/>
                <w:numId w:val="16"/>
              </w:numPr>
              <w:autoSpaceDE w:val="0"/>
              <w:autoSpaceDN w:val="0"/>
              <w:adjustRightInd w:val="0"/>
              <w:contextualSpacing/>
              <w:rPr>
                <w:rFonts w:cstheme="minorHAnsi"/>
                <w:sz w:val="20"/>
                <w:szCs w:val="20"/>
              </w:rPr>
            </w:pPr>
            <w:r>
              <w:rPr>
                <w:rFonts w:cstheme="minorHAnsi"/>
                <w:sz w:val="20"/>
                <w:szCs w:val="20"/>
              </w:rPr>
              <w:t xml:space="preserve"> Literacy coordinator to write and implement literacy development plan (Sept20)</w:t>
            </w:r>
          </w:p>
          <w:p>
            <w:pPr>
              <w:numPr>
                <w:ilvl w:val="0"/>
                <w:numId w:val="16"/>
              </w:numPr>
              <w:spacing w:before="100" w:beforeAutospacing="1"/>
              <w:contextualSpacing/>
              <w:rPr>
                <w:rFonts w:eastAsia="Tahoma" w:cstheme="minorHAnsi"/>
                <w:sz w:val="20"/>
                <w:szCs w:val="20"/>
                <w:lang w:eastAsia="en-GB"/>
              </w:rPr>
            </w:pPr>
            <w:r>
              <w:rPr>
                <w:rFonts w:eastAsia="Tahoma" w:cstheme="minorHAnsi"/>
                <w:sz w:val="20"/>
                <w:szCs w:val="20"/>
                <w:lang w:eastAsia="en-GB"/>
              </w:rPr>
              <w:lastRenderedPageBreak/>
              <w:t>Ensure faculties are using VCOP maps effectively for whole school approach (SKE- Sept ’20)</w:t>
            </w:r>
          </w:p>
          <w:p>
            <w:pPr>
              <w:numPr>
                <w:ilvl w:val="0"/>
                <w:numId w:val="16"/>
              </w:numPr>
              <w:spacing w:before="100" w:beforeAutospacing="1"/>
              <w:contextualSpacing/>
              <w:rPr>
                <w:rFonts w:eastAsia="Tahoma" w:cstheme="minorHAnsi"/>
                <w:sz w:val="20"/>
                <w:szCs w:val="20"/>
                <w:lang w:eastAsia="en-GB"/>
              </w:rPr>
            </w:pPr>
            <w:r>
              <w:rPr>
                <w:rFonts w:eastAsia="Tahoma" w:cstheme="minorHAnsi"/>
                <w:sz w:val="20"/>
                <w:szCs w:val="20"/>
                <w:lang w:eastAsia="en-GB"/>
              </w:rPr>
              <w:t>INSET for all staff to ensure they are aware of VCOP and understand the plans for it for the year (Sept ’20- ADO)</w:t>
            </w:r>
          </w:p>
          <w:p>
            <w:pPr>
              <w:numPr>
                <w:ilvl w:val="0"/>
                <w:numId w:val="16"/>
              </w:numPr>
              <w:spacing w:before="100" w:beforeAutospacing="1"/>
              <w:contextualSpacing/>
              <w:rPr>
                <w:rFonts w:eastAsia="Tahoma" w:cstheme="minorHAnsi"/>
                <w:sz w:val="20"/>
                <w:szCs w:val="20"/>
                <w:lang w:eastAsia="en-GB"/>
              </w:rPr>
            </w:pPr>
            <w:r>
              <w:rPr>
                <w:rFonts w:eastAsia="Tahoma" w:cstheme="minorHAnsi"/>
                <w:sz w:val="20"/>
                <w:szCs w:val="20"/>
                <w:lang w:eastAsia="en-GB"/>
              </w:rPr>
              <w:t>Support offered to all staff for specific aspects of literacy (ongoing)</w:t>
            </w:r>
          </w:p>
          <w:p>
            <w:pPr>
              <w:numPr>
                <w:ilvl w:val="0"/>
                <w:numId w:val="16"/>
              </w:numPr>
              <w:spacing w:before="100" w:beforeAutospacing="1"/>
              <w:contextualSpacing/>
              <w:rPr>
                <w:rFonts w:eastAsia="Tahoma" w:cstheme="minorHAnsi"/>
                <w:sz w:val="20"/>
                <w:szCs w:val="20"/>
                <w:lang w:eastAsia="en-GB"/>
              </w:rPr>
            </w:pPr>
            <w:r>
              <w:rPr>
                <w:rFonts w:eastAsia="Tahoma" w:cstheme="minorHAnsi"/>
                <w:sz w:val="20"/>
                <w:szCs w:val="20"/>
                <w:lang w:eastAsia="en-GB"/>
              </w:rPr>
              <w:t>Monitor staff using VCOP with the following: voluntary lesson drop ins – strand – book reviews.</w:t>
            </w:r>
          </w:p>
          <w:p>
            <w:pPr>
              <w:numPr>
                <w:ilvl w:val="0"/>
                <w:numId w:val="16"/>
              </w:numPr>
              <w:rPr>
                <w:rFonts w:eastAsia="Times New Roman" w:cstheme="minorHAnsi"/>
                <w:sz w:val="20"/>
                <w:szCs w:val="20"/>
                <w:lang w:eastAsia="en-GB"/>
              </w:rPr>
            </w:pPr>
            <w:r>
              <w:rPr>
                <w:rFonts w:eastAsia="Times New Roman" w:cstheme="minorHAnsi"/>
                <w:sz w:val="20"/>
                <w:szCs w:val="20"/>
                <w:lang w:eastAsia="en-GB"/>
              </w:rPr>
              <w:t>Audit curriculum areas for subject specific reading (Summer term 2020)</w:t>
            </w:r>
          </w:p>
          <w:p>
            <w:pPr>
              <w:numPr>
                <w:ilvl w:val="0"/>
                <w:numId w:val="16"/>
              </w:numPr>
              <w:spacing w:before="100" w:beforeAutospacing="1"/>
              <w:contextualSpacing/>
              <w:rPr>
                <w:rFonts w:eastAsia="Tahoma" w:cstheme="minorHAnsi"/>
                <w:sz w:val="20"/>
                <w:szCs w:val="20"/>
                <w:lang w:eastAsia="en-GB"/>
              </w:rPr>
            </w:pPr>
            <w:r>
              <w:rPr>
                <w:rFonts w:eastAsia="Times New Roman" w:cstheme="minorHAnsi"/>
                <w:sz w:val="20"/>
                <w:szCs w:val="20"/>
                <w:lang w:eastAsia="en-GB"/>
              </w:rPr>
              <w:t>Literacy CPD session in Sept 20 with strategies</w:t>
            </w:r>
          </w:p>
          <w:p>
            <w:pPr>
              <w:numPr>
                <w:ilvl w:val="0"/>
                <w:numId w:val="16"/>
              </w:numPr>
              <w:contextualSpacing/>
              <w:rPr>
                <w:rFonts w:cstheme="minorHAnsi"/>
                <w:sz w:val="20"/>
                <w:szCs w:val="20"/>
              </w:rPr>
            </w:pPr>
            <w:r>
              <w:rPr>
                <w:rFonts w:cstheme="minorHAnsi"/>
                <w:sz w:val="20"/>
                <w:szCs w:val="20"/>
              </w:rPr>
              <w:t>Develop role of literacy co-ordinator ensuring a positive impact on reading and a culture of reading(SKE)</w:t>
            </w:r>
          </w:p>
          <w:p>
            <w:pPr>
              <w:numPr>
                <w:ilvl w:val="0"/>
                <w:numId w:val="16"/>
              </w:numPr>
              <w:contextualSpacing/>
              <w:rPr>
                <w:rFonts w:cstheme="minorHAnsi"/>
                <w:sz w:val="20"/>
                <w:szCs w:val="20"/>
              </w:rPr>
            </w:pPr>
            <w:r>
              <w:rPr>
                <w:rFonts w:cstheme="minorHAnsi"/>
                <w:sz w:val="20"/>
                <w:szCs w:val="20"/>
              </w:rPr>
              <w:t>Promote oracy to aid discussion about what is being learnt and how it fits into the learning journey (Term 1)</w:t>
            </w:r>
          </w:p>
          <w:p>
            <w:pPr>
              <w:numPr>
                <w:ilvl w:val="0"/>
                <w:numId w:val="16"/>
              </w:numPr>
              <w:contextualSpacing/>
              <w:rPr>
                <w:rFonts w:cstheme="minorHAnsi"/>
                <w:sz w:val="20"/>
                <w:szCs w:val="20"/>
              </w:rPr>
            </w:pPr>
            <w:r>
              <w:rPr>
                <w:rFonts w:cstheme="minorHAnsi"/>
                <w:sz w:val="20"/>
                <w:szCs w:val="20"/>
              </w:rPr>
              <w:t>Develop the use of the reading area in English Homebase for y7 bubble to ensure that a wider group of students access resources (Term 3)</w:t>
            </w:r>
          </w:p>
          <w:p>
            <w:pPr>
              <w:numPr>
                <w:ilvl w:val="0"/>
                <w:numId w:val="16"/>
              </w:numPr>
              <w:contextualSpacing/>
              <w:rPr>
                <w:rFonts w:eastAsia="Tahoma" w:cstheme="minorHAnsi"/>
                <w:sz w:val="20"/>
                <w:szCs w:val="20"/>
              </w:rPr>
            </w:pPr>
            <w:r>
              <w:rPr>
                <w:rFonts w:eastAsia="Tahoma" w:cstheme="minorHAnsi"/>
                <w:sz w:val="20"/>
                <w:szCs w:val="20"/>
              </w:rPr>
              <w:t xml:space="preserve">Organise a reading café for parents/students during Literacy/Numeracy evening (Spring ‘20) </w:t>
            </w:r>
          </w:p>
          <w:p>
            <w:pPr>
              <w:numPr>
                <w:ilvl w:val="0"/>
                <w:numId w:val="16"/>
              </w:numPr>
              <w:contextualSpacing/>
              <w:rPr>
                <w:rFonts w:eastAsia="Tahoma" w:cstheme="minorHAnsi"/>
                <w:sz w:val="20"/>
                <w:szCs w:val="20"/>
              </w:rPr>
            </w:pPr>
            <w:r>
              <w:rPr>
                <w:rFonts w:eastAsia="Tahoma" w:cstheme="minorHAnsi"/>
                <w:sz w:val="20"/>
                <w:szCs w:val="20"/>
              </w:rPr>
              <w:t xml:space="preserve">Asked parents to help take part in Kirkby Child Reading Challenge with students. </w:t>
            </w:r>
          </w:p>
          <w:p>
            <w:pPr>
              <w:numPr>
                <w:ilvl w:val="0"/>
                <w:numId w:val="16"/>
              </w:numPr>
              <w:contextualSpacing/>
              <w:rPr>
                <w:rFonts w:eastAsia="Tahoma" w:cstheme="minorHAnsi"/>
                <w:sz w:val="20"/>
                <w:szCs w:val="20"/>
              </w:rPr>
            </w:pPr>
            <w:r>
              <w:rPr>
                <w:rFonts w:eastAsia="Tahoma" w:cstheme="minorHAnsi"/>
                <w:sz w:val="20"/>
                <w:szCs w:val="20"/>
              </w:rPr>
              <w:t>Ask staff for books to send to community centre to be picked up for parents/children. (Winter ’20)</w:t>
            </w:r>
          </w:p>
          <w:p>
            <w:pPr>
              <w:numPr>
                <w:ilvl w:val="0"/>
                <w:numId w:val="16"/>
              </w:numPr>
              <w:spacing w:line="216" w:lineRule="auto"/>
              <w:contextualSpacing/>
              <w:rPr>
                <w:rFonts w:cstheme="minorHAnsi"/>
                <w:sz w:val="20"/>
                <w:szCs w:val="20"/>
              </w:rPr>
            </w:pPr>
            <w:r>
              <w:rPr>
                <w:rFonts w:cstheme="minorHAnsi"/>
                <w:sz w:val="20"/>
                <w:szCs w:val="20"/>
              </w:rPr>
              <w:t>Numeracy coordinator to write and implement action plan to improve numeracy(AMA- Sept 20</w:t>
            </w:r>
          </w:p>
          <w:p>
            <w:pPr>
              <w:numPr>
                <w:ilvl w:val="0"/>
                <w:numId w:val="16"/>
              </w:numPr>
              <w:spacing w:line="216" w:lineRule="auto"/>
              <w:contextualSpacing/>
              <w:rPr>
                <w:rFonts w:cstheme="minorHAnsi"/>
                <w:sz w:val="20"/>
                <w:szCs w:val="20"/>
              </w:rPr>
            </w:pPr>
            <w:r>
              <w:rPr>
                <w:rFonts w:cstheme="minorHAnsi"/>
                <w:sz w:val="20"/>
                <w:szCs w:val="20"/>
              </w:rPr>
              <w:lastRenderedPageBreak/>
              <w:t>Form time activities provided to promote numeracy and literacy on specific days (AMA/SKE Start Sept20)</w:t>
            </w:r>
          </w:p>
          <w:p>
            <w:pPr>
              <w:numPr>
                <w:ilvl w:val="0"/>
                <w:numId w:val="16"/>
              </w:numPr>
              <w:contextualSpacing/>
              <w:rPr>
                <w:rFonts w:cstheme="minorHAnsi"/>
                <w:sz w:val="20"/>
                <w:szCs w:val="20"/>
              </w:rPr>
            </w:pPr>
            <w:r>
              <w:rPr>
                <w:rFonts w:cstheme="minorHAnsi"/>
                <w:sz w:val="20"/>
                <w:szCs w:val="20"/>
              </w:rPr>
              <w:t>Numeracy and literacy focus in transition programme</w:t>
            </w:r>
          </w:p>
          <w:p>
            <w:pPr>
              <w:numPr>
                <w:ilvl w:val="0"/>
                <w:numId w:val="16"/>
              </w:numPr>
              <w:contextualSpacing/>
              <w:rPr>
                <w:rFonts w:cstheme="minorHAnsi"/>
                <w:sz w:val="20"/>
                <w:szCs w:val="20"/>
              </w:rPr>
            </w:pPr>
            <w:r>
              <w:rPr>
                <w:rFonts w:cstheme="minorHAnsi"/>
                <w:sz w:val="20"/>
                <w:szCs w:val="20"/>
              </w:rPr>
              <w:t>Collate and analyse reading ages for all PP students. Use these to identify students who require additional support (Sept 20)</w:t>
            </w:r>
          </w:p>
          <w:p>
            <w:pPr>
              <w:numPr>
                <w:ilvl w:val="0"/>
                <w:numId w:val="16"/>
              </w:numPr>
              <w:contextualSpacing/>
              <w:rPr>
                <w:rFonts w:cstheme="minorHAnsi"/>
                <w:sz w:val="20"/>
                <w:szCs w:val="20"/>
              </w:rPr>
            </w:pPr>
            <w:r>
              <w:rPr>
                <w:rFonts w:cstheme="minorHAnsi"/>
                <w:sz w:val="20"/>
                <w:szCs w:val="20"/>
              </w:rPr>
              <w:t>Sims up to date with reading ages. Class charts up to date with reading ages on seating plans. Staff to use to support differentiation within lessons (Oct 19)</w:t>
            </w:r>
          </w:p>
          <w:p>
            <w:pPr>
              <w:numPr>
                <w:ilvl w:val="0"/>
                <w:numId w:val="16"/>
              </w:numPr>
              <w:autoSpaceDE w:val="0"/>
              <w:autoSpaceDN w:val="0"/>
              <w:adjustRightInd w:val="0"/>
              <w:contextualSpacing/>
              <w:rPr>
                <w:rFonts w:cstheme="minorHAnsi"/>
                <w:sz w:val="20"/>
                <w:szCs w:val="20"/>
              </w:rPr>
            </w:pPr>
            <w:r>
              <w:rPr>
                <w:rFonts w:cstheme="minorHAnsi"/>
                <w:sz w:val="20"/>
                <w:szCs w:val="20"/>
              </w:rPr>
              <w:t>Training to develop approach to literacy writing in key subject areas (Sept 20)</w:t>
            </w:r>
          </w:p>
          <w:p>
            <w:pPr>
              <w:numPr>
                <w:ilvl w:val="0"/>
                <w:numId w:val="16"/>
              </w:numPr>
              <w:autoSpaceDE w:val="0"/>
              <w:autoSpaceDN w:val="0"/>
              <w:adjustRightInd w:val="0"/>
              <w:contextualSpacing/>
              <w:rPr>
                <w:rFonts w:cstheme="minorHAnsi"/>
                <w:sz w:val="20"/>
                <w:szCs w:val="20"/>
              </w:rPr>
            </w:pPr>
            <w:r>
              <w:rPr>
                <w:rFonts w:cstheme="minorHAnsi"/>
                <w:sz w:val="20"/>
                <w:szCs w:val="20"/>
              </w:rPr>
              <w:t>CPD of staff on effective use of data to inform teaching and learning (Nov 20)</w:t>
            </w:r>
          </w:p>
          <w:p>
            <w:pPr>
              <w:numPr>
                <w:ilvl w:val="0"/>
                <w:numId w:val="16"/>
              </w:numPr>
              <w:autoSpaceDE w:val="0"/>
              <w:autoSpaceDN w:val="0"/>
              <w:adjustRightInd w:val="0"/>
              <w:contextualSpacing/>
              <w:rPr>
                <w:rFonts w:cstheme="minorHAnsi"/>
                <w:sz w:val="20"/>
                <w:szCs w:val="20"/>
              </w:rPr>
            </w:pPr>
            <w:r>
              <w:rPr>
                <w:rFonts w:cstheme="minorHAnsi"/>
                <w:sz w:val="20"/>
                <w:szCs w:val="20"/>
              </w:rPr>
              <w:t>CATs tests for all Year 7 (Oct) Cats Tests used to target students with low levels of literacy. Also used to inform English faculty of students who are gifted in reading so they can be challenged (Oct 20)</w:t>
            </w:r>
          </w:p>
          <w:p>
            <w:pPr>
              <w:numPr>
                <w:ilvl w:val="0"/>
                <w:numId w:val="16"/>
              </w:numPr>
              <w:autoSpaceDE w:val="0"/>
              <w:autoSpaceDN w:val="0"/>
              <w:adjustRightInd w:val="0"/>
              <w:contextualSpacing/>
              <w:rPr>
                <w:rFonts w:cstheme="minorHAnsi"/>
                <w:sz w:val="20"/>
                <w:szCs w:val="20"/>
              </w:rPr>
            </w:pPr>
            <w:r>
              <w:rPr>
                <w:rFonts w:cstheme="minorHAnsi"/>
                <w:sz w:val="20"/>
                <w:szCs w:val="20"/>
              </w:rPr>
              <w:t>Reading tests for all KS3 to aid in the option process and exam access (HT2)</w:t>
            </w:r>
          </w:p>
          <w:p>
            <w:pPr>
              <w:numPr>
                <w:ilvl w:val="0"/>
                <w:numId w:val="16"/>
              </w:numPr>
              <w:spacing w:line="216" w:lineRule="auto"/>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AMA and SKE to host an information evening for parents of pupils receiving literacy and numeracy intervention. (Summer term(T2)</w:t>
            </w:r>
          </w:p>
          <w:p>
            <w:pPr>
              <w:numPr>
                <w:ilvl w:val="0"/>
                <w:numId w:val="16"/>
              </w:numPr>
              <w:spacing w:line="216" w:lineRule="auto"/>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AMA and GJA to get Barclays life skills in to run an event. GJA to take the lead with AMA supporting (T2)</w:t>
            </w:r>
          </w:p>
        </w:tc>
        <w:tc>
          <w:tcPr>
            <w:tcW w:w="1700" w:type="dxa"/>
            <w:tcBorders>
              <w:right w:val="single" w:sz="4" w:space="0" w:color="000000"/>
            </w:tcBorders>
            <w:shd w:val="clear" w:color="auto" w:fill="auto"/>
          </w:tcPr>
          <w:p>
            <w:pPr>
              <w:rPr>
                <w:rFonts w:cs="Arial"/>
                <w:b/>
                <w:color w:val="000000" w:themeColor="text1"/>
                <w:sz w:val="20"/>
                <w:szCs w:val="20"/>
              </w:rPr>
            </w:pPr>
            <w:r>
              <w:rPr>
                <w:rFonts w:cs="Arial"/>
                <w:b/>
                <w:color w:val="000000" w:themeColor="text1"/>
                <w:sz w:val="20"/>
                <w:szCs w:val="20"/>
              </w:rPr>
              <w:lastRenderedPageBreak/>
              <w:t>Improve literacy and numeracy skills of students who are disadvantaged or have SEND focussing on the confidence recall and extended writing</w:t>
            </w:r>
          </w:p>
          <w:p>
            <w:pPr>
              <w:rPr>
                <w:rFonts w:cs="Arial"/>
                <w:b/>
                <w:color w:val="000000" w:themeColor="text1"/>
                <w:sz w:val="20"/>
                <w:szCs w:val="20"/>
              </w:rPr>
            </w:pPr>
          </w:p>
          <w:p>
            <w:pPr>
              <w:pStyle w:val="TableRowCentered"/>
              <w:ind w:left="0"/>
              <w:jc w:val="left"/>
              <w:rPr>
                <w:b/>
                <w:szCs w:val="24"/>
              </w:rPr>
            </w:pPr>
            <w:r>
              <w:rPr>
                <w:rFonts w:cstheme="minorHAnsi"/>
                <w:sz w:val="20"/>
              </w:rPr>
              <w:t>Books show progress over time in terms of extended writing responses. (ADO)</w:t>
            </w:r>
          </w:p>
          <w:p>
            <w:pPr>
              <w:rPr>
                <w:lang w:eastAsia="en-GB"/>
              </w:rPr>
            </w:pPr>
          </w:p>
          <w:p>
            <w:pPr>
              <w:rPr>
                <w:lang w:eastAsia="en-GB"/>
              </w:rPr>
            </w:pPr>
          </w:p>
          <w:p>
            <w:pPr>
              <w:rPr>
                <w:lang w:eastAsia="en-GB"/>
              </w:rPr>
            </w:pPr>
          </w:p>
          <w:p>
            <w:pPr>
              <w:rPr>
                <w:rFonts w:cstheme="minorHAnsi"/>
                <w:sz w:val="20"/>
                <w:szCs w:val="20"/>
              </w:rPr>
            </w:pPr>
            <w:r>
              <w:rPr>
                <w:rFonts w:cstheme="minorHAnsi"/>
                <w:sz w:val="20"/>
                <w:szCs w:val="20"/>
              </w:rPr>
              <w:t>Form time learning walks show students discussing and interacting during form time (SDU)</w:t>
            </w:r>
          </w:p>
          <w:p>
            <w:pPr>
              <w:rPr>
                <w:lang w:eastAsia="en-GB"/>
              </w:rPr>
            </w:pPr>
          </w:p>
          <w:p>
            <w:pPr>
              <w:rPr>
                <w:rFonts w:cstheme="minorHAnsi"/>
                <w:sz w:val="20"/>
                <w:szCs w:val="20"/>
              </w:rPr>
            </w:pPr>
            <w:r>
              <w:rPr>
                <w:rFonts w:cstheme="minorHAnsi"/>
                <w:sz w:val="20"/>
                <w:szCs w:val="20"/>
              </w:rPr>
              <w:t>Outcomes improved for KS3 especially PP students who have low non-verbal and verbal scores in the CATS tests (MT)</w:t>
            </w:r>
          </w:p>
          <w:p>
            <w:pPr>
              <w:rPr>
                <w:rFonts w:cstheme="minorHAnsi"/>
                <w:sz w:val="20"/>
                <w:szCs w:val="20"/>
              </w:rPr>
            </w:pPr>
          </w:p>
          <w:p>
            <w:pPr>
              <w:rPr>
                <w:lang w:eastAsia="en-GB"/>
              </w:rPr>
            </w:pPr>
            <w:r>
              <w:rPr>
                <w:rFonts w:cstheme="minorHAnsi"/>
                <w:sz w:val="20"/>
                <w:szCs w:val="20"/>
              </w:rPr>
              <w:t>Increased number of students using the reading corner compared to T2(RKe/SKe)</w:t>
            </w:r>
          </w:p>
          <w:p>
            <w:pPr>
              <w:rPr>
                <w:lang w:eastAsia="en-GB"/>
              </w:rPr>
            </w:pPr>
          </w:p>
          <w:p>
            <w:pPr>
              <w:rPr>
                <w:rFonts w:cstheme="minorHAnsi"/>
                <w:sz w:val="20"/>
                <w:szCs w:val="20"/>
              </w:rPr>
            </w:pPr>
            <w:r>
              <w:rPr>
                <w:rFonts w:cstheme="minorHAnsi"/>
                <w:sz w:val="20"/>
                <w:szCs w:val="20"/>
              </w:rPr>
              <w:t>Reading ages improve for PP students (MT/KHu</w:t>
            </w:r>
          </w:p>
          <w:p>
            <w:pPr>
              <w:rPr>
                <w:rFonts w:cstheme="minorHAnsi"/>
                <w:sz w:val="20"/>
                <w:szCs w:val="20"/>
              </w:rPr>
            </w:pPr>
            <w:r>
              <w:rPr>
                <w:rFonts w:cstheme="minorHAnsi"/>
                <w:sz w:val="20"/>
                <w:szCs w:val="20"/>
              </w:rPr>
              <w:t>Improved numeracy used in subjects and increased numeracy age for those who enter below expected age (AMA/KHU)</w:t>
            </w:r>
          </w:p>
          <w:p>
            <w:pPr>
              <w:rPr>
                <w:rFonts w:cstheme="minorHAnsi"/>
                <w:sz w:val="20"/>
                <w:szCs w:val="20"/>
              </w:rPr>
            </w:pPr>
          </w:p>
          <w:p>
            <w:pPr>
              <w:rPr>
                <w:rFonts w:cstheme="minorHAnsi"/>
                <w:sz w:val="20"/>
                <w:szCs w:val="20"/>
              </w:rPr>
            </w:pPr>
            <w:r>
              <w:rPr>
                <w:rFonts w:cstheme="minorHAnsi"/>
                <w:sz w:val="20"/>
                <w:szCs w:val="20"/>
              </w:rPr>
              <w:t>Students who are gifted in numeracy and literacy are identified before they enter year 7 on a KHS programme.</w:t>
            </w:r>
          </w:p>
          <w:p>
            <w:pPr>
              <w:rPr>
                <w:rFonts w:cstheme="minorHAnsi"/>
                <w:sz w:val="20"/>
                <w:szCs w:val="20"/>
              </w:rPr>
            </w:pPr>
          </w:p>
          <w:p>
            <w:pPr>
              <w:rPr>
                <w:rFonts w:cstheme="minorHAnsi"/>
                <w:color w:val="000000" w:themeColor="text1"/>
                <w:sz w:val="20"/>
                <w:szCs w:val="20"/>
              </w:rPr>
            </w:pPr>
            <w:r>
              <w:rPr>
                <w:rFonts w:cstheme="minorHAnsi"/>
                <w:color w:val="000000" w:themeColor="text1"/>
                <w:sz w:val="20"/>
                <w:szCs w:val="20"/>
              </w:rPr>
              <w:t>SKE aware of areas of strength and those that require development within school and action plan is RAG rated</w:t>
            </w:r>
          </w:p>
          <w:p>
            <w:pPr>
              <w:rPr>
                <w:lang w:eastAsia="en-GB"/>
              </w:rPr>
            </w:pPr>
          </w:p>
        </w:tc>
        <w:tc>
          <w:tcPr>
            <w:tcW w:w="2977" w:type="dxa"/>
            <w:tcBorders>
              <w:right w:val="single" w:sz="4" w:space="0" w:color="000000"/>
            </w:tcBorders>
            <w:shd w:val="clear" w:color="auto" w:fill="auto"/>
          </w:tcPr>
          <w:p>
            <w:pPr>
              <w:rPr>
                <w:rFonts w:cstheme="minorHAnsi"/>
                <w:sz w:val="20"/>
                <w:szCs w:val="20"/>
              </w:rPr>
            </w:pPr>
            <w:r>
              <w:rPr>
                <w:rFonts w:cstheme="minorHAnsi"/>
                <w:sz w:val="20"/>
                <w:szCs w:val="20"/>
              </w:rPr>
              <w:lastRenderedPageBreak/>
              <w:t>Recall and extended writing was evident form the quality assurance during lockdown learning.</w:t>
            </w:r>
          </w:p>
          <w:p>
            <w:pPr>
              <w:rPr>
                <w:rFonts w:cstheme="minorHAnsi"/>
                <w:color w:val="FF0000"/>
                <w:sz w:val="20"/>
                <w:szCs w:val="20"/>
              </w:rPr>
            </w:pPr>
          </w:p>
          <w:p>
            <w:pPr>
              <w:rPr>
                <w:rFonts w:cstheme="minorHAnsi"/>
                <w:color w:val="FF0000"/>
                <w:sz w:val="20"/>
                <w:szCs w:val="20"/>
                <w:highlight w:val="yellow"/>
              </w:rPr>
            </w:pPr>
          </w:p>
          <w:p>
            <w:pPr>
              <w:rPr>
                <w:rFonts w:cstheme="minorHAnsi"/>
                <w:color w:val="FF0000"/>
                <w:sz w:val="20"/>
                <w:szCs w:val="20"/>
                <w:highlight w:val="yellow"/>
              </w:rPr>
            </w:pPr>
            <w:r>
              <w:rPr>
                <w:noProof/>
                <w:lang w:eastAsia="en-GB"/>
              </w:rPr>
              <w:drawing>
                <wp:inline distT="0" distB="0" distL="0" distR="0">
                  <wp:extent cx="1753235" cy="9537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53235" cy="953770"/>
                          </a:xfrm>
                          <a:prstGeom prst="rect">
                            <a:avLst/>
                          </a:prstGeom>
                        </pic:spPr>
                      </pic:pic>
                    </a:graphicData>
                  </a:graphic>
                </wp:inline>
              </w:drawing>
            </w:r>
            <w:bookmarkStart w:id="0" w:name="_GoBack"/>
            <w:bookmarkEnd w:id="0"/>
          </w:p>
          <w:p>
            <w:pPr>
              <w:rPr>
                <w:rFonts w:cstheme="minorHAnsi"/>
                <w:color w:val="FF0000"/>
                <w:sz w:val="20"/>
                <w:szCs w:val="20"/>
                <w:highlight w:val="yellow"/>
              </w:rPr>
            </w:pPr>
          </w:p>
          <w:p>
            <w:pPr>
              <w:rPr>
                <w:rFonts w:cstheme="minorHAnsi"/>
                <w:color w:val="FF0000"/>
                <w:sz w:val="20"/>
                <w:szCs w:val="20"/>
              </w:rPr>
            </w:pPr>
          </w:p>
          <w:p>
            <w:pPr>
              <w:rPr>
                <w:rFonts w:cstheme="minorHAnsi"/>
                <w:sz w:val="20"/>
                <w:szCs w:val="20"/>
              </w:rPr>
            </w:pPr>
            <w:r>
              <w:rPr>
                <w:rFonts w:cstheme="minorHAnsi"/>
                <w:sz w:val="20"/>
                <w:szCs w:val="20"/>
              </w:rPr>
              <w:t xml:space="preserve">As students were in lockdown staff set these activities through Microsoft Teams Assignments Staff were marking and giving feedback following the same </w:t>
            </w:r>
            <w:r>
              <w:rPr>
                <w:rFonts w:cstheme="minorHAnsi"/>
                <w:sz w:val="20"/>
                <w:szCs w:val="20"/>
              </w:rPr>
              <w:lastRenderedPageBreak/>
              <w:t>policy as before lockdown(This change was reported to governors on 10.2.21)</w:t>
            </w:r>
          </w:p>
          <w:p>
            <w:pPr>
              <w:rPr>
                <w:rFonts w:cstheme="minorHAnsi"/>
                <w:sz w:val="20"/>
                <w:szCs w:val="20"/>
              </w:rPr>
            </w:pPr>
          </w:p>
          <w:p>
            <w:pPr>
              <w:contextualSpacing/>
              <w:rPr>
                <w:rFonts w:cstheme="minorHAnsi"/>
                <w:sz w:val="20"/>
                <w:szCs w:val="20"/>
              </w:rPr>
            </w:pPr>
          </w:p>
          <w:p>
            <w:pPr>
              <w:contextualSpacing/>
              <w:rPr>
                <w:rFonts w:cstheme="minorHAnsi"/>
                <w:sz w:val="20"/>
                <w:szCs w:val="20"/>
              </w:rPr>
            </w:pPr>
          </w:p>
          <w:p>
            <w:pPr>
              <w:contextualSpacing/>
              <w:rPr>
                <w:rFonts w:cstheme="minorHAnsi"/>
                <w:sz w:val="20"/>
                <w:szCs w:val="20"/>
              </w:rPr>
            </w:pPr>
          </w:p>
          <w:p>
            <w:pPr>
              <w:contextualSpacing/>
              <w:rPr>
                <w:rFonts w:cstheme="minorHAnsi"/>
                <w:sz w:val="20"/>
                <w:szCs w:val="20"/>
              </w:rPr>
            </w:pPr>
            <w:r>
              <w:rPr>
                <w:rFonts w:cstheme="minorHAnsi"/>
                <w:sz w:val="20"/>
                <w:szCs w:val="20"/>
              </w:rPr>
              <w:t xml:space="preserve">Students were low non-verbal scores increase on average by ½ stage however this is not to comparable to previous year due to lockdown. </w:t>
            </w:r>
          </w:p>
          <w:p>
            <w:pPr>
              <w:contextualSpacing/>
              <w:rPr>
                <w:rFonts w:cstheme="minorHAnsi"/>
                <w:color w:val="FF0000"/>
                <w:sz w:val="20"/>
                <w:szCs w:val="20"/>
              </w:rPr>
            </w:pPr>
          </w:p>
          <w:p>
            <w:pPr>
              <w:contextualSpacing/>
              <w:rPr>
                <w:rFonts w:cstheme="minorHAnsi"/>
                <w:color w:val="FF0000"/>
                <w:sz w:val="20"/>
                <w:szCs w:val="20"/>
              </w:rPr>
            </w:pPr>
          </w:p>
          <w:p>
            <w:pPr>
              <w:rPr>
                <w:rFonts w:cstheme="minorHAnsi"/>
                <w:sz w:val="20"/>
                <w:szCs w:val="20"/>
              </w:rPr>
            </w:pPr>
          </w:p>
          <w:p>
            <w:pPr>
              <w:rPr>
                <w:rFonts w:cstheme="minorHAnsi"/>
                <w:sz w:val="20"/>
                <w:szCs w:val="20"/>
              </w:rPr>
            </w:pPr>
          </w:p>
          <w:p>
            <w:pPr>
              <w:rPr>
                <w:rFonts w:cstheme="minorHAnsi"/>
                <w:color w:val="000000" w:themeColor="text1"/>
                <w:sz w:val="20"/>
                <w:szCs w:val="20"/>
              </w:rPr>
            </w:pPr>
          </w:p>
          <w:p>
            <w:pPr>
              <w:rPr>
                <w:rFonts w:cstheme="minorHAnsi"/>
                <w:color w:val="000000" w:themeColor="text1"/>
                <w:sz w:val="20"/>
                <w:szCs w:val="20"/>
              </w:rPr>
            </w:pPr>
          </w:p>
          <w:p>
            <w:pPr>
              <w:rPr>
                <w:rFonts w:cstheme="minorHAnsi"/>
                <w:color w:val="000000" w:themeColor="text1"/>
                <w:sz w:val="20"/>
                <w:szCs w:val="20"/>
              </w:rPr>
            </w:pPr>
          </w:p>
          <w:p>
            <w:pPr>
              <w:rPr>
                <w:rFonts w:cstheme="minorHAnsi"/>
                <w:color w:val="000000" w:themeColor="text1"/>
                <w:sz w:val="20"/>
                <w:szCs w:val="20"/>
              </w:rPr>
            </w:pPr>
          </w:p>
          <w:p>
            <w:pPr>
              <w:rPr>
                <w:rFonts w:cstheme="minorHAnsi"/>
                <w:color w:val="000000" w:themeColor="text1"/>
                <w:sz w:val="20"/>
                <w:szCs w:val="20"/>
              </w:rPr>
            </w:pPr>
          </w:p>
          <w:p>
            <w:pPr>
              <w:rPr>
                <w:rFonts w:cstheme="minorHAnsi"/>
                <w:color w:val="000000" w:themeColor="text1"/>
                <w:sz w:val="20"/>
                <w:szCs w:val="20"/>
              </w:rPr>
            </w:pPr>
          </w:p>
          <w:p>
            <w:pPr>
              <w:rPr>
                <w:rFonts w:cstheme="minorHAnsi"/>
                <w:color w:val="000000" w:themeColor="text1"/>
                <w:sz w:val="20"/>
                <w:szCs w:val="20"/>
              </w:rPr>
            </w:pPr>
          </w:p>
          <w:p>
            <w:pPr>
              <w:rPr>
                <w:rFonts w:cstheme="minorHAnsi"/>
                <w:color w:val="000000" w:themeColor="text1"/>
                <w:sz w:val="20"/>
                <w:szCs w:val="20"/>
              </w:rPr>
            </w:pPr>
          </w:p>
          <w:p>
            <w:pPr>
              <w:rPr>
                <w:rFonts w:cstheme="minorHAnsi"/>
                <w:color w:val="000000" w:themeColor="text1"/>
                <w:sz w:val="20"/>
                <w:szCs w:val="20"/>
              </w:rPr>
            </w:pPr>
          </w:p>
          <w:p>
            <w:pPr>
              <w:rPr>
                <w:rFonts w:cstheme="minorHAnsi"/>
                <w:color w:val="000000" w:themeColor="text1"/>
                <w:sz w:val="20"/>
                <w:szCs w:val="20"/>
              </w:rPr>
            </w:pPr>
          </w:p>
          <w:p>
            <w:pPr>
              <w:rPr>
                <w:rFonts w:cstheme="minorHAnsi"/>
                <w:color w:val="000000" w:themeColor="text1"/>
                <w:sz w:val="20"/>
                <w:szCs w:val="20"/>
              </w:rPr>
            </w:pPr>
          </w:p>
          <w:p>
            <w:pPr>
              <w:rPr>
                <w:rFonts w:cstheme="minorHAnsi"/>
                <w:color w:val="000000" w:themeColor="text1"/>
                <w:sz w:val="20"/>
                <w:szCs w:val="20"/>
              </w:rPr>
            </w:pPr>
          </w:p>
          <w:p>
            <w:pPr>
              <w:rPr>
                <w:rFonts w:cstheme="minorHAnsi"/>
                <w:color w:val="000000" w:themeColor="text1"/>
                <w:sz w:val="20"/>
                <w:szCs w:val="20"/>
              </w:rPr>
            </w:pPr>
            <w:r>
              <w:rPr>
                <w:rFonts w:cstheme="minorHAnsi"/>
                <w:color w:val="000000" w:themeColor="text1"/>
                <w:sz w:val="20"/>
                <w:szCs w:val="20"/>
              </w:rPr>
              <w:t>More-able students were identified from primary transition meetings.</w:t>
            </w:r>
          </w:p>
          <w:p>
            <w:pPr>
              <w:rPr>
                <w:rFonts w:cstheme="minorHAnsi"/>
                <w:color w:val="000000" w:themeColor="text1"/>
                <w:sz w:val="20"/>
                <w:szCs w:val="20"/>
              </w:rPr>
            </w:pPr>
          </w:p>
          <w:p>
            <w:pPr>
              <w:rPr>
                <w:rFonts w:cstheme="minorHAnsi"/>
                <w:color w:val="000000" w:themeColor="text1"/>
                <w:sz w:val="20"/>
                <w:szCs w:val="20"/>
              </w:rPr>
            </w:pPr>
          </w:p>
          <w:p>
            <w:pPr>
              <w:rPr>
                <w:rFonts w:cstheme="minorHAnsi"/>
                <w:color w:val="000000" w:themeColor="text1"/>
                <w:sz w:val="20"/>
                <w:szCs w:val="20"/>
              </w:rPr>
            </w:pPr>
          </w:p>
          <w:p>
            <w:pPr>
              <w:rPr>
                <w:rFonts w:cstheme="minorHAnsi"/>
                <w:color w:val="000000" w:themeColor="text1"/>
                <w:sz w:val="20"/>
                <w:szCs w:val="20"/>
              </w:rPr>
            </w:pPr>
          </w:p>
          <w:p>
            <w:pPr>
              <w:rPr>
                <w:rFonts w:cstheme="minorHAnsi"/>
                <w:color w:val="000000" w:themeColor="text1"/>
                <w:sz w:val="20"/>
                <w:szCs w:val="20"/>
              </w:rPr>
            </w:pPr>
          </w:p>
          <w:p>
            <w:pPr>
              <w:rPr>
                <w:rFonts w:cstheme="minorHAnsi"/>
                <w:color w:val="000000" w:themeColor="text1"/>
                <w:sz w:val="20"/>
                <w:szCs w:val="20"/>
              </w:rPr>
            </w:pPr>
          </w:p>
          <w:p>
            <w:pPr>
              <w:rPr>
                <w:rFonts w:cstheme="minorHAnsi"/>
                <w:color w:val="000000" w:themeColor="text1"/>
                <w:sz w:val="20"/>
                <w:szCs w:val="20"/>
              </w:rPr>
            </w:pPr>
          </w:p>
          <w:p>
            <w:pPr>
              <w:rPr>
                <w:rFonts w:cstheme="minorHAnsi"/>
                <w:color w:val="000000" w:themeColor="text1"/>
                <w:sz w:val="20"/>
                <w:szCs w:val="20"/>
              </w:rPr>
            </w:pPr>
          </w:p>
          <w:p>
            <w:pPr>
              <w:rPr>
                <w:rFonts w:cstheme="minorHAnsi"/>
                <w:color w:val="000000" w:themeColor="text1"/>
                <w:sz w:val="20"/>
                <w:szCs w:val="20"/>
              </w:rPr>
            </w:pPr>
            <w:r>
              <w:rPr>
                <w:rFonts w:cstheme="minorHAnsi"/>
                <w:color w:val="000000" w:themeColor="text1"/>
                <w:sz w:val="20"/>
                <w:szCs w:val="20"/>
              </w:rPr>
              <w:t>Quality Assured by DHT</w:t>
            </w:r>
          </w:p>
          <w:p>
            <w:pPr>
              <w:rPr>
                <w:rFonts w:cstheme="minorHAnsi"/>
                <w:color w:val="000000" w:themeColor="text1"/>
                <w:sz w:val="20"/>
                <w:szCs w:val="20"/>
              </w:rPr>
            </w:pPr>
          </w:p>
          <w:p>
            <w:pPr>
              <w:contextualSpacing/>
              <w:rPr>
                <w:b/>
                <w:szCs w:val="24"/>
              </w:rPr>
            </w:pPr>
          </w:p>
        </w:tc>
        <w:tc>
          <w:tcPr>
            <w:tcW w:w="2977" w:type="dxa"/>
            <w:tcBorders>
              <w:right w:val="single" w:sz="4" w:space="0" w:color="000000"/>
            </w:tcBorders>
            <w:shd w:val="clear" w:color="auto" w:fill="auto"/>
          </w:tcPr>
          <w:p>
            <w:pPr>
              <w:contextualSpacing/>
              <w:rPr>
                <w:rFonts w:cstheme="minorHAnsi"/>
                <w:sz w:val="20"/>
                <w:szCs w:val="20"/>
              </w:rPr>
            </w:pPr>
            <w:r>
              <w:rPr>
                <w:rFonts w:cstheme="minorHAnsi"/>
                <w:sz w:val="20"/>
                <w:szCs w:val="20"/>
              </w:rPr>
              <w:lastRenderedPageBreak/>
              <w:t>Extended 20 minute will no longer be possible due to students no longer being taught in bubbles. However extended writing will still be a focus next year during lessons.</w:t>
            </w:r>
          </w:p>
          <w:p>
            <w:pPr>
              <w:contextualSpacing/>
              <w:rPr>
                <w:rFonts w:cstheme="minorHAnsi"/>
                <w:sz w:val="20"/>
                <w:szCs w:val="20"/>
              </w:rPr>
            </w:pPr>
          </w:p>
          <w:p>
            <w:pPr>
              <w:contextualSpacing/>
              <w:rPr>
                <w:rFonts w:cstheme="minorHAnsi"/>
                <w:sz w:val="20"/>
                <w:szCs w:val="20"/>
              </w:rPr>
            </w:pPr>
            <w:r>
              <w:rPr>
                <w:rFonts w:cstheme="minorHAnsi"/>
                <w:sz w:val="20"/>
                <w:szCs w:val="20"/>
              </w:rPr>
              <w:t>CPD as our information shows that safeguarding referrals have increased since lockdown and currently 88% of the referrals are disadvantaged students.</w:t>
            </w:r>
          </w:p>
          <w:p>
            <w:pPr>
              <w:contextualSpacing/>
              <w:rPr>
                <w:rFonts w:cstheme="minorHAnsi"/>
                <w:sz w:val="20"/>
                <w:szCs w:val="20"/>
              </w:rPr>
            </w:pPr>
          </w:p>
          <w:p>
            <w:pPr>
              <w:contextualSpacing/>
              <w:rPr>
                <w:rFonts w:cstheme="minorHAnsi"/>
                <w:sz w:val="20"/>
                <w:szCs w:val="20"/>
              </w:rPr>
            </w:pPr>
            <w:r>
              <w:rPr>
                <w:rFonts w:cstheme="minorHAnsi"/>
                <w:sz w:val="20"/>
                <w:szCs w:val="20"/>
              </w:rPr>
              <w:t>Reading ages were affected by lockdown, however once returning to school these seemed to be accelerated. See table.</w:t>
            </w:r>
          </w:p>
          <w:p>
            <w:pPr>
              <w:contextualSpacing/>
              <w:rPr>
                <w:rFonts w:cstheme="minorHAnsi"/>
                <w:sz w:val="20"/>
                <w:szCs w:val="20"/>
              </w:rPr>
            </w:pPr>
          </w:p>
          <w:p>
            <w:pPr>
              <w:rPr>
                <w:rFonts w:cstheme="minorHAnsi"/>
              </w:rPr>
            </w:pPr>
          </w:p>
          <w:p>
            <w:pPr>
              <w:rPr>
                <w:rFonts w:cstheme="minorHAnsi"/>
              </w:rPr>
            </w:pPr>
          </w:p>
          <w:p>
            <w:pPr>
              <w:pStyle w:val="TableRowCentered"/>
              <w:ind w:left="0"/>
              <w:jc w:val="left"/>
              <w:rPr>
                <w:b/>
                <w:color w:val="auto"/>
                <w:szCs w:val="24"/>
              </w:rPr>
            </w:pPr>
          </w:p>
          <w:p>
            <w:pPr>
              <w:rPr>
                <w:lang w:eastAsia="en-GB"/>
              </w:rPr>
            </w:pPr>
          </w:p>
          <w:p>
            <w:pPr>
              <w:rPr>
                <w:lang w:eastAsia="en-GB"/>
              </w:rPr>
            </w:pPr>
          </w:p>
          <w:p>
            <w:pPr>
              <w:contextualSpacing/>
              <w:rPr>
                <w:rFonts w:cstheme="minorHAnsi"/>
                <w:sz w:val="20"/>
                <w:szCs w:val="20"/>
              </w:rPr>
            </w:pPr>
            <w:r>
              <w:rPr>
                <w:rFonts w:cstheme="minorHAnsi"/>
                <w:sz w:val="20"/>
                <w:szCs w:val="20"/>
              </w:rPr>
              <w:t>All students received a book to read in the post. Activities were set linked to the book. For example, book reviews and alternative book covers. (This Change was reported to governors on 10.2.21)</w:t>
            </w:r>
          </w:p>
          <w:p>
            <w:pPr>
              <w:rPr>
                <w:lang w:eastAsia="en-GB"/>
              </w:rPr>
            </w:pPr>
          </w:p>
        </w:tc>
        <w:tc>
          <w:tcPr>
            <w:tcW w:w="2977" w:type="dxa"/>
            <w:tcBorders>
              <w:right w:val="single" w:sz="4" w:space="0" w:color="000000"/>
            </w:tcBorders>
            <w:shd w:val="clear" w:color="auto" w:fill="auto"/>
          </w:tcPr>
          <w:p>
            <w:pPr>
              <w:rPr>
                <w:rFonts w:cstheme="minorHAnsi"/>
                <w:sz w:val="20"/>
                <w:szCs w:val="20"/>
              </w:rPr>
            </w:pPr>
            <w:r>
              <w:rPr>
                <w:rFonts w:cstheme="minorHAnsi"/>
                <w:sz w:val="20"/>
                <w:szCs w:val="20"/>
              </w:rPr>
              <w:lastRenderedPageBreak/>
              <w:t>Class charts £1,621.20</w:t>
            </w:r>
          </w:p>
          <w:p>
            <w:pPr>
              <w:rPr>
                <w:rFonts w:cstheme="minorHAnsi"/>
                <w:sz w:val="20"/>
                <w:szCs w:val="20"/>
              </w:rPr>
            </w:pPr>
          </w:p>
          <w:p>
            <w:pPr>
              <w:rPr>
                <w:rFonts w:cstheme="minorHAnsi"/>
                <w:sz w:val="20"/>
                <w:szCs w:val="20"/>
              </w:rPr>
            </w:pPr>
            <w:r>
              <w:rPr>
                <w:rFonts w:cstheme="minorHAnsi"/>
                <w:sz w:val="20"/>
                <w:szCs w:val="20"/>
              </w:rPr>
              <w:t>Proportion of AHT salary MTu (on confidential strategy)</w:t>
            </w:r>
          </w:p>
          <w:p>
            <w:pPr>
              <w:rPr>
                <w:rFonts w:cstheme="minorHAnsi"/>
                <w:sz w:val="20"/>
                <w:szCs w:val="20"/>
              </w:rPr>
            </w:pPr>
          </w:p>
          <w:p>
            <w:pPr>
              <w:rPr>
                <w:rFonts w:cstheme="minorHAnsi"/>
                <w:sz w:val="20"/>
                <w:szCs w:val="20"/>
              </w:rPr>
            </w:pPr>
          </w:p>
          <w:p>
            <w:pPr>
              <w:rPr>
                <w:rFonts w:cstheme="minorHAnsi"/>
                <w:sz w:val="20"/>
                <w:szCs w:val="20"/>
              </w:rPr>
            </w:pPr>
            <w:r>
              <w:rPr>
                <w:rFonts w:cstheme="minorHAnsi"/>
                <w:sz w:val="20"/>
                <w:szCs w:val="20"/>
              </w:rPr>
              <w:t xml:space="preserve">Proportion of AHT salary  </w:t>
            </w:r>
          </w:p>
          <w:p>
            <w:pPr>
              <w:rPr>
                <w:rFonts w:cstheme="minorHAnsi"/>
                <w:sz w:val="20"/>
                <w:szCs w:val="20"/>
              </w:rPr>
            </w:pPr>
          </w:p>
          <w:p>
            <w:pPr>
              <w:rPr>
                <w:rFonts w:cstheme="minorHAnsi"/>
                <w:sz w:val="20"/>
                <w:szCs w:val="20"/>
              </w:rPr>
            </w:pPr>
          </w:p>
          <w:p>
            <w:pPr>
              <w:rPr>
                <w:rFonts w:cstheme="minorHAnsi"/>
                <w:sz w:val="20"/>
                <w:szCs w:val="20"/>
              </w:rPr>
            </w:pPr>
            <w:r>
              <w:rPr>
                <w:rFonts w:cstheme="minorHAnsi"/>
                <w:sz w:val="20"/>
                <w:szCs w:val="20"/>
              </w:rPr>
              <w:t>Proportion of Literacy coordinator (on confidential strategy)</w:t>
            </w:r>
          </w:p>
          <w:p>
            <w:pPr>
              <w:rPr>
                <w:rFonts w:cstheme="minorHAnsi"/>
                <w:sz w:val="20"/>
                <w:szCs w:val="20"/>
              </w:rPr>
            </w:pPr>
          </w:p>
          <w:p>
            <w:pPr>
              <w:rPr>
                <w:rFonts w:cstheme="minorHAnsi"/>
                <w:sz w:val="20"/>
                <w:szCs w:val="20"/>
              </w:rPr>
            </w:pPr>
          </w:p>
          <w:p>
            <w:pPr>
              <w:rPr>
                <w:rFonts w:cstheme="minorHAnsi"/>
                <w:sz w:val="20"/>
                <w:szCs w:val="20"/>
              </w:rPr>
            </w:pPr>
            <w:r>
              <w:rPr>
                <w:rFonts w:cstheme="minorHAnsi"/>
                <w:sz w:val="20"/>
                <w:szCs w:val="20"/>
              </w:rPr>
              <w:t xml:space="preserve">CATS / Reading tests </w:t>
            </w:r>
          </w:p>
          <w:p>
            <w:pPr>
              <w:rPr>
                <w:rFonts w:cstheme="minorHAnsi"/>
                <w:sz w:val="20"/>
                <w:szCs w:val="20"/>
              </w:rPr>
            </w:pPr>
            <w:r>
              <w:rPr>
                <w:rFonts w:cstheme="minorHAnsi"/>
                <w:sz w:val="20"/>
                <w:szCs w:val="20"/>
              </w:rPr>
              <w:t>(£2,400 -paid by LA)</w:t>
            </w:r>
          </w:p>
          <w:p>
            <w:pPr>
              <w:rPr>
                <w:rFonts w:cstheme="minorHAnsi"/>
                <w:sz w:val="20"/>
                <w:szCs w:val="20"/>
              </w:rPr>
            </w:pPr>
          </w:p>
          <w:p>
            <w:pPr>
              <w:rPr>
                <w:rFonts w:cstheme="minorHAnsi"/>
                <w:sz w:val="20"/>
                <w:szCs w:val="20"/>
              </w:rPr>
            </w:pPr>
          </w:p>
          <w:p>
            <w:pPr>
              <w:rPr>
                <w:rFonts w:cstheme="minorHAnsi"/>
                <w:sz w:val="20"/>
                <w:szCs w:val="20"/>
              </w:rPr>
            </w:pPr>
          </w:p>
          <w:p>
            <w:pPr>
              <w:rPr>
                <w:rFonts w:cstheme="minorHAnsi"/>
                <w:sz w:val="20"/>
                <w:szCs w:val="20"/>
              </w:rPr>
            </w:pPr>
            <w:r>
              <w:rPr>
                <w:rFonts w:cstheme="minorHAnsi"/>
                <w:sz w:val="20"/>
                <w:szCs w:val="20"/>
              </w:rPr>
              <w:lastRenderedPageBreak/>
              <w:t>Power of reading course £180</w:t>
            </w:r>
          </w:p>
          <w:p>
            <w:pPr>
              <w:rPr>
                <w:rFonts w:cstheme="minorHAnsi"/>
                <w:sz w:val="20"/>
                <w:szCs w:val="20"/>
              </w:rPr>
            </w:pPr>
          </w:p>
          <w:p>
            <w:pPr>
              <w:rPr>
                <w:rFonts w:cstheme="minorHAnsi"/>
                <w:sz w:val="20"/>
                <w:szCs w:val="20"/>
              </w:rPr>
            </w:pPr>
            <w:r>
              <w:rPr>
                <w:rFonts w:cstheme="minorHAnsi"/>
                <w:sz w:val="20"/>
                <w:szCs w:val="20"/>
              </w:rPr>
              <w:t>Literacy/numeracy form time resources</w:t>
            </w:r>
          </w:p>
          <w:p>
            <w:pPr>
              <w:pStyle w:val="TableRowCentered"/>
              <w:ind w:left="0"/>
              <w:jc w:val="left"/>
              <w:rPr>
                <w:b/>
                <w:szCs w:val="24"/>
              </w:rPr>
            </w:pPr>
            <w:r>
              <w:rPr>
                <w:rFonts w:asciiTheme="minorHAnsi" w:eastAsiaTheme="minorHAnsi" w:hAnsiTheme="minorHAnsi" w:cstheme="minorHAnsi"/>
                <w:color w:val="auto"/>
                <w:sz w:val="20"/>
                <w:lang w:eastAsia="en-US"/>
              </w:rPr>
              <w:t>£500</w:t>
            </w:r>
          </w:p>
        </w:tc>
      </w:tr>
      <w:tr>
        <w:trPr>
          <w:trHeight w:val="58"/>
        </w:trPr>
        <w:tc>
          <w:tcPr>
            <w:tcW w:w="4254" w:type="dxa"/>
            <w:tcBorders>
              <w:right w:val="single" w:sz="4" w:space="0" w:color="000000"/>
            </w:tcBorders>
            <w:shd w:val="clear" w:color="auto" w:fill="auto"/>
          </w:tcPr>
          <w:p>
            <w:pPr>
              <w:numPr>
                <w:ilvl w:val="0"/>
                <w:numId w:val="17"/>
              </w:numPr>
              <w:contextualSpacing/>
              <w:rPr>
                <w:rFonts w:cstheme="minorHAnsi"/>
                <w:sz w:val="20"/>
                <w:szCs w:val="20"/>
              </w:rPr>
            </w:pPr>
            <w:r>
              <w:rPr>
                <w:rFonts w:cstheme="minorHAnsi"/>
                <w:sz w:val="20"/>
                <w:szCs w:val="20"/>
              </w:rPr>
              <w:lastRenderedPageBreak/>
              <w:t xml:space="preserve">Review assessment at KS3 with a focus on know more and remember more (SEPT20) </w:t>
            </w:r>
          </w:p>
          <w:p>
            <w:pPr>
              <w:numPr>
                <w:ilvl w:val="0"/>
                <w:numId w:val="17"/>
              </w:numPr>
              <w:contextualSpacing/>
              <w:rPr>
                <w:rFonts w:cstheme="minorHAnsi"/>
                <w:sz w:val="20"/>
                <w:szCs w:val="20"/>
              </w:rPr>
            </w:pPr>
            <w:r>
              <w:rPr>
                <w:rFonts w:cstheme="minorHAnsi"/>
                <w:sz w:val="20"/>
                <w:szCs w:val="20"/>
              </w:rPr>
              <w:t xml:space="preserve">Increase number of quality independent tasks in lessons to inform learning </w:t>
            </w:r>
            <w:r>
              <w:rPr>
                <w:rFonts w:cstheme="minorHAnsi"/>
                <w:sz w:val="20"/>
                <w:szCs w:val="20"/>
              </w:rPr>
              <w:lastRenderedPageBreak/>
              <w:t>journey (know more, remember more) (Oct20)</w:t>
            </w:r>
          </w:p>
          <w:p>
            <w:pPr>
              <w:numPr>
                <w:ilvl w:val="0"/>
                <w:numId w:val="17"/>
              </w:numPr>
              <w:contextualSpacing/>
              <w:rPr>
                <w:rFonts w:cstheme="minorHAnsi"/>
                <w:sz w:val="20"/>
                <w:szCs w:val="20"/>
              </w:rPr>
            </w:pPr>
            <w:r>
              <w:rPr>
                <w:rFonts w:cstheme="minorHAnsi"/>
                <w:sz w:val="20"/>
                <w:szCs w:val="20"/>
              </w:rPr>
              <w:t>CPD – Twilight for teachers to reduce number of exams, increase awareness of assessment criteria within the SOW (NOV20)</w:t>
            </w:r>
          </w:p>
          <w:p>
            <w:pPr>
              <w:numPr>
                <w:ilvl w:val="0"/>
                <w:numId w:val="17"/>
              </w:numPr>
              <w:contextualSpacing/>
              <w:rPr>
                <w:rFonts w:cstheme="minorHAnsi"/>
                <w:sz w:val="20"/>
                <w:szCs w:val="20"/>
              </w:rPr>
            </w:pPr>
            <w:r>
              <w:rPr>
                <w:rFonts w:cstheme="minorHAnsi"/>
                <w:sz w:val="20"/>
                <w:szCs w:val="20"/>
              </w:rPr>
              <w:t>Collate KS2 information from primary school to establish working towards, expected and in greater depth in light of KS2 SATS being cancelled (Aug20)</w:t>
            </w:r>
          </w:p>
          <w:p>
            <w:pPr>
              <w:numPr>
                <w:ilvl w:val="0"/>
                <w:numId w:val="17"/>
              </w:numPr>
              <w:contextualSpacing/>
              <w:rPr>
                <w:rFonts w:cstheme="minorHAnsi"/>
                <w:sz w:val="20"/>
                <w:szCs w:val="20"/>
              </w:rPr>
            </w:pPr>
            <w:r>
              <w:rPr>
                <w:rFonts w:cstheme="minorHAnsi"/>
                <w:sz w:val="20"/>
                <w:szCs w:val="20"/>
              </w:rPr>
              <w:t>Support middle leaders to QA teaching materials and ensure they are suited to ability and provide sufficient challenge to all students (JRi/KHu)</w:t>
            </w:r>
          </w:p>
          <w:p>
            <w:pPr>
              <w:numPr>
                <w:ilvl w:val="0"/>
                <w:numId w:val="17"/>
              </w:numPr>
              <w:tabs>
                <w:tab w:val="left" w:pos="1593"/>
              </w:tabs>
              <w:contextualSpacing/>
              <w:rPr>
                <w:rFonts w:cstheme="minorHAnsi"/>
                <w:sz w:val="20"/>
                <w:szCs w:val="20"/>
              </w:rPr>
            </w:pPr>
            <w:r>
              <w:rPr>
                <w:rFonts w:cstheme="minorHAnsi"/>
                <w:sz w:val="20"/>
                <w:szCs w:val="20"/>
              </w:rPr>
              <w:t xml:space="preserve">Improve further the deployment of </w:t>
            </w:r>
            <w:r>
              <w:rPr>
                <w:rFonts w:cstheme="minorHAnsi"/>
                <w:sz w:val="20"/>
                <w:szCs w:val="20"/>
              </w:rPr>
              <w:br/>
              <w:t>teaching assistants, by using SEND student progress data more effectively, to inform targeted provision in specific lessons, where students may be making less progress in other areas of the curriculum (JRi/KHu)</w:t>
            </w:r>
          </w:p>
          <w:p>
            <w:pPr>
              <w:numPr>
                <w:ilvl w:val="0"/>
                <w:numId w:val="17"/>
              </w:numPr>
              <w:tabs>
                <w:tab w:val="left" w:pos="1593"/>
              </w:tabs>
              <w:contextualSpacing/>
              <w:rPr>
                <w:rFonts w:cstheme="minorHAnsi"/>
                <w:sz w:val="20"/>
                <w:szCs w:val="20"/>
              </w:rPr>
            </w:pPr>
            <w:r>
              <w:rPr>
                <w:rFonts w:cstheme="minorHAnsi"/>
                <w:sz w:val="20"/>
                <w:szCs w:val="20"/>
              </w:rPr>
              <w:t xml:space="preserve">Develop training for teaching assistants, </w:t>
            </w:r>
            <w:r>
              <w:rPr>
                <w:rFonts w:cstheme="minorHAnsi"/>
                <w:sz w:val="20"/>
                <w:szCs w:val="20"/>
              </w:rPr>
              <w:br/>
              <w:t>including basic English and maths skills(JRi/KHu)</w:t>
            </w:r>
          </w:p>
          <w:p>
            <w:pPr>
              <w:numPr>
                <w:ilvl w:val="0"/>
                <w:numId w:val="17"/>
              </w:numPr>
              <w:tabs>
                <w:tab w:val="left" w:pos="1593"/>
              </w:tabs>
              <w:contextualSpacing/>
              <w:rPr>
                <w:rFonts w:cstheme="minorHAnsi"/>
                <w:sz w:val="20"/>
                <w:szCs w:val="20"/>
              </w:rPr>
            </w:pPr>
            <w:r>
              <w:rPr>
                <w:rFonts w:cstheme="minorHAnsi"/>
                <w:sz w:val="20"/>
                <w:szCs w:val="20"/>
              </w:rPr>
              <w:t xml:space="preserve">Provide quality training for inclusion staff, including training for teaching and learning practice to enable expert, specialist </w:t>
            </w:r>
            <w:r>
              <w:rPr>
                <w:rFonts w:cstheme="minorHAnsi"/>
                <w:sz w:val="20"/>
                <w:szCs w:val="20"/>
              </w:rPr>
              <w:br/>
              <w:t>delivery of interventions (JRi/KHu)</w:t>
            </w:r>
          </w:p>
          <w:p>
            <w:pPr>
              <w:numPr>
                <w:ilvl w:val="0"/>
                <w:numId w:val="17"/>
              </w:numPr>
              <w:tabs>
                <w:tab w:val="left" w:pos="1593"/>
              </w:tabs>
              <w:contextualSpacing/>
              <w:rPr>
                <w:rFonts w:cstheme="minorHAnsi"/>
                <w:sz w:val="20"/>
                <w:szCs w:val="20"/>
              </w:rPr>
            </w:pPr>
            <w:r>
              <w:rPr>
                <w:rFonts w:cstheme="minorHAnsi"/>
                <w:sz w:val="20"/>
                <w:szCs w:val="20"/>
              </w:rPr>
              <w:t xml:space="preserve">Improve further SEND QA processes to </w:t>
            </w:r>
            <w:r>
              <w:rPr>
                <w:rFonts w:cstheme="minorHAnsi"/>
                <w:sz w:val="20"/>
                <w:szCs w:val="20"/>
              </w:rPr>
              <w:br/>
              <w:t xml:space="preserve">include student in the classroom with learning walks and student/TA </w:t>
            </w:r>
            <w:r>
              <w:rPr>
                <w:rFonts w:cstheme="minorHAnsi"/>
                <w:sz w:val="20"/>
                <w:szCs w:val="20"/>
              </w:rPr>
              <w:br/>
              <w:t>observations</w:t>
            </w:r>
          </w:p>
          <w:p>
            <w:pPr>
              <w:numPr>
                <w:ilvl w:val="0"/>
                <w:numId w:val="17"/>
              </w:numPr>
              <w:tabs>
                <w:tab w:val="left" w:pos="1593"/>
              </w:tabs>
              <w:contextualSpacing/>
              <w:rPr>
                <w:rFonts w:cstheme="minorHAnsi"/>
                <w:sz w:val="20"/>
                <w:szCs w:val="20"/>
              </w:rPr>
            </w:pPr>
            <w:r>
              <w:rPr>
                <w:rFonts w:cstheme="minorHAnsi"/>
                <w:sz w:val="20"/>
                <w:szCs w:val="20"/>
              </w:rPr>
              <w:t xml:space="preserve">KS2 to KS3 transition to identify the needs of specific students to ensure </w:t>
            </w:r>
            <w:r>
              <w:rPr>
                <w:rFonts w:cstheme="minorHAnsi"/>
                <w:sz w:val="20"/>
                <w:szCs w:val="20"/>
              </w:rPr>
              <w:lastRenderedPageBreak/>
              <w:t>they all fully equipped for secondary education (ADO/LGR)</w:t>
            </w:r>
          </w:p>
          <w:p>
            <w:pPr>
              <w:numPr>
                <w:ilvl w:val="0"/>
                <w:numId w:val="17"/>
              </w:numPr>
              <w:tabs>
                <w:tab w:val="left" w:pos="1593"/>
              </w:tabs>
              <w:contextualSpacing/>
              <w:rPr>
                <w:rFonts w:cstheme="minorHAnsi"/>
                <w:sz w:val="20"/>
                <w:szCs w:val="20"/>
              </w:rPr>
            </w:pPr>
            <w:r>
              <w:rPr>
                <w:rFonts w:cstheme="minorHAnsi"/>
                <w:sz w:val="20"/>
                <w:szCs w:val="20"/>
              </w:rPr>
              <w:t>2020 summer data to be used immediately as the starting point for autumn 2020 onwards(MTu)</w:t>
            </w:r>
          </w:p>
          <w:p>
            <w:pPr>
              <w:numPr>
                <w:ilvl w:val="0"/>
                <w:numId w:val="17"/>
              </w:numPr>
              <w:tabs>
                <w:tab w:val="left" w:pos="1593"/>
              </w:tabs>
              <w:contextualSpacing/>
              <w:rPr>
                <w:rFonts w:cstheme="minorHAnsi"/>
                <w:sz w:val="20"/>
                <w:szCs w:val="20"/>
              </w:rPr>
            </w:pPr>
            <w:r>
              <w:rPr>
                <w:rFonts w:cstheme="minorHAnsi"/>
                <w:sz w:val="20"/>
                <w:szCs w:val="20"/>
              </w:rPr>
              <w:t>Specific subject interventions to be put in place by HoF using PowerBI (MTu)</w:t>
            </w:r>
          </w:p>
          <w:p>
            <w:pPr>
              <w:numPr>
                <w:ilvl w:val="0"/>
                <w:numId w:val="17"/>
              </w:numPr>
              <w:tabs>
                <w:tab w:val="left" w:pos="1593"/>
              </w:tabs>
              <w:contextualSpacing/>
              <w:rPr>
                <w:rFonts w:cstheme="minorHAnsi"/>
                <w:sz w:val="20"/>
                <w:szCs w:val="20"/>
              </w:rPr>
            </w:pPr>
            <w:r>
              <w:rPr>
                <w:rFonts w:cstheme="minorHAnsi"/>
                <w:sz w:val="20"/>
                <w:szCs w:val="20"/>
              </w:rPr>
              <w:t>Use of Class charts for seating plans and to track homework(Ado)</w:t>
            </w:r>
          </w:p>
          <w:p>
            <w:pPr>
              <w:numPr>
                <w:ilvl w:val="0"/>
                <w:numId w:val="17"/>
              </w:numPr>
              <w:tabs>
                <w:tab w:val="left" w:pos="1593"/>
              </w:tabs>
              <w:contextualSpacing/>
              <w:rPr>
                <w:rFonts w:cstheme="minorHAnsi"/>
                <w:sz w:val="20"/>
                <w:szCs w:val="20"/>
              </w:rPr>
            </w:pPr>
            <w:r>
              <w:rPr>
                <w:rFonts w:cstheme="minorHAnsi"/>
                <w:sz w:val="20"/>
                <w:szCs w:val="20"/>
              </w:rPr>
              <w:t>CPD for staff on PowerBi and expectations around this(MTu)</w:t>
            </w:r>
          </w:p>
          <w:p>
            <w:pPr>
              <w:numPr>
                <w:ilvl w:val="0"/>
                <w:numId w:val="17"/>
              </w:numPr>
              <w:tabs>
                <w:tab w:val="left" w:pos="1593"/>
              </w:tabs>
              <w:contextualSpacing/>
              <w:rPr>
                <w:rFonts w:cstheme="minorHAnsi"/>
                <w:sz w:val="20"/>
                <w:szCs w:val="20"/>
              </w:rPr>
            </w:pPr>
            <w:r>
              <w:rPr>
                <w:rFonts w:cstheme="minorHAnsi"/>
                <w:sz w:val="20"/>
                <w:szCs w:val="20"/>
              </w:rPr>
              <w:t>Early identification of students under performing at KS3 and relevant interventions used within faculties and through TAC (MTU)</w:t>
            </w:r>
          </w:p>
          <w:p>
            <w:pPr>
              <w:numPr>
                <w:ilvl w:val="0"/>
                <w:numId w:val="17"/>
              </w:numPr>
              <w:tabs>
                <w:tab w:val="left" w:pos="1593"/>
              </w:tabs>
              <w:contextualSpacing/>
              <w:rPr>
                <w:rFonts w:cstheme="minorHAnsi"/>
                <w:sz w:val="20"/>
                <w:szCs w:val="20"/>
              </w:rPr>
            </w:pPr>
            <w:r>
              <w:rPr>
                <w:rFonts w:cstheme="minorHAnsi"/>
                <w:sz w:val="20"/>
                <w:szCs w:val="20"/>
              </w:rPr>
              <w:t>Gifted and talented coordinator  to implement action plan  with a focus on underachieving students who were high on entry(NCo)</w:t>
            </w:r>
          </w:p>
          <w:p>
            <w:pPr>
              <w:pStyle w:val="ListParagraph"/>
              <w:numPr>
                <w:ilvl w:val="0"/>
                <w:numId w:val="17"/>
              </w:numPr>
              <w:spacing w:after="0" w:line="240" w:lineRule="auto"/>
              <w:rPr>
                <w:b/>
              </w:rPr>
            </w:pPr>
            <w:r>
              <w:rPr>
                <w:rFonts w:cstheme="minorHAnsi"/>
                <w:sz w:val="20"/>
                <w:szCs w:val="20"/>
              </w:rPr>
              <w:t>Improve progress of students whose first language is not English by providing ipad translating resources, TA support and TwinkL(JRi/KHU)</w:t>
            </w:r>
          </w:p>
        </w:tc>
        <w:tc>
          <w:tcPr>
            <w:tcW w:w="1700" w:type="dxa"/>
            <w:tcBorders>
              <w:right w:val="single" w:sz="4" w:space="0" w:color="000000"/>
            </w:tcBorders>
            <w:shd w:val="clear" w:color="auto" w:fill="auto"/>
          </w:tcPr>
          <w:p>
            <w:pPr>
              <w:rPr>
                <w:rFonts w:cstheme="minorHAnsi"/>
                <w:b/>
                <w:sz w:val="20"/>
                <w:szCs w:val="20"/>
              </w:rPr>
            </w:pPr>
            <w:r>
              <w:rPr>
                <w:rFonts w:cstheme="minorHAnsi"/>
                <w:b/>
                <w:color w:val="000000" w:themeColor="text1"/>
                <w:sz w:val="20"/>
                <w:szCs w:val="20"/>
              </w:rPr>
              <w:lastRenderedPageBreak/>
              <w:t xml:space="preserve">Enhance KS3 outcomes for all groups across all subjects especially boys, </w:t>
            </w:r>
            <w:r>
              <w:rPr>
                <w:rFonts w:cstheme="minorHAnsi"/>
                <w:b/>
                <w:color w:val="000000" w:themeColor="text1"/>
                <w:sz w:val="20"/>
                <w:szCs w:val="20"/>
              </w:rPr>
              <w:lastRenderedPageBreak/>
              <w:t xml:space="preserve">disadvantaged and those who have special educational needs </w:t>
            </w:r>
          </w:p>
          <w:p>
            <w:pPr>
              <w:pStyle w:val="TableRowCentered"/>
              <w:ind w:left="0"/>
              <w:jc w:val="left"/>
              <w:rPr>
                <w:b/>
                <w:szCs w:val="24"/>
              </w:rPr>
            </w:pPr>
          </w:p>
          <w:p>
            <w:pPr>
              <w:rPr>
                <w:rFonts w:cstheme="minorHAnsi"/>
                <w:sz w:val="20"/>
                <w:szCs w:val="20"/>
              </w:rPr>
            </w:pPr>
            <w:r>
              <w:rPr>
                <w:rFonts w:cstheme="minorHAnsi"/>
                <w:sz w:val="20"/>
                <w:szCs w:val="20"/>
              </w:rPr>
              <w:t>All SOW include assessment opportunities linked to correct level of challenge using assessment criteria. More students working at the age related expectation.</w:t>
            </w:r>
          </w:p>
          <w:p>
            <w:pPr>
              <w:rPr>
                <w:rFonts w:cstheme="minorHAnsi"/>
                <w:sz w:val="20"/>
                <w:szCs w:val="20"/>
              </w:rPr>
            </w:pPr>
          </w:p>
          <w:p>
            <w:pPr>
              <w:rPr>
                <w:rFonts w:cstheme="minorHAnsi"/>
                <w:sz w:val="20"/>
                <w:szCs w:val="20"/>
              </w:rPr>
            </w:pPr>
          </w:p>
          <w:p>
            <w:pPr>
              <w:rPr>
                <w:rFonts w:cstheme="minorHAnsi"/>
                <w:sz w:val="20"/>
                <w:szCs w:val="20"/>
              </w:rPr>
            </w:pPr>
          </w:p>
          <w:p>
            <w:pPr>
              <w:rPr>
                <w:rFonts w:cstheme="minorHAnsi"/>
                <w:sz w:val="20"/>
                <w:szCs w:val="20"/>
              </w:rPr>
            </w:pPr>
          </w:p>
          <w:p>
            <w:pPr>
              <w:rPr>
                <w:rFonts w:cstheme="minorHAnsi"/>
                <w:sz w:val="20"/>
                <w:szCs w:val="20"/>
              </w:rPr>
            </w:pPr>
          </w:p>
          <w:p>
            <w:pPr>
              <w:rPr>
                <w:rFonts w:cstheme="minorHAnsi"/>
                <w:sz w:val="20"/>
                <w:szCs w:val="20"/>
              </w:rPr>
            </w:pPr>
          </w:p>
          <w:p>
            <w:pPr>
              <w:rPr>
                <w:rFonts w:cstheme="minorHAnsi"/>
                <w:sz w:val="20"/>
                <w:szCs w:val="20"/>
              </w:rPr>
            </w:pPr>
            <w:r>
              <w:rPr>
                <w:rFonts w:cstheme="minorHAnsi"/>
                <w:sz w:val="20"/>
                <w:szCs w:val="20"/>
              </w:rPr>
              <w:t xml:space="preserve">Reading ages, CATS tests, KS2 information used to </w:t>
            </w:r>
          </w:p>
          <w:p>
            <w:pPr>
              <w:rPr>
                <w:rFonts w:cstheme="minorHAnsi"/>
                <w:sz w:val="20"/>
                <w:szCs w:val="20"/>
              </w:rPr>
            </w:pPr>
            <w:r>
              <w:rPr>
                <w:rFonts w:cstheme="minorHAnsi"/>
                <w:sz w:val="20"/>
                <w:szCs w:val="20"/>
              </w:rPr>
              <w:t>pitch challenging learning that builds on kS2 (MTU)</w:t>
            </w:r>
          </w:p>
          <w:p>
            <w:pPr>
              <w:rPr>
                <w:rFonts w:cstheme="minorHAnsi"/>
                <w:sz w:val="20"/>
                <w:szCs w:val="20"/>
              </w:rPr>
            </w:pPr>
          </w:p>
          <w:p>
            <w:pPr>
              <w:rPr>
                <w:rFonts w:cstheme="minorHAnsi"/>
                <w:sz w:val="20"/>
                <w:szCs w:val="20"/>
              </w:rPr>
            </w:pPr>
            <w:r>
              <w:rPr>
                <w:rFonts w:cstheme="minorHAnsi"/>
                <w:sz w:val="20"/>
                <w:szCs w:val="20"/>
              </w:rPr>
              <w:t xml:space="preserve">Students who are receiving additional support show progress in </w:t>
            </w:r>
            <w:r>
              <w:rPr>
                <w:rFonts w:cstheme="minorHAnsi"/>
                <w:sz w:val="20"/>
                <w:szCs w:val="20"/>
              </w:rPr>
              <w:lastRenderedPageBreak/>
              <w:t>learning compared to T2 and are review is made (JRi/KHu/MTu)</w:t>
            </w:r>
          </w:p>
          <w:p>
            <w:pPr>
              <w:rPr>
                <w:rFonts w:cstheme="minorHAnsi"/>
                <w:sz w:val="20"/>
                <w:szCs w:val="20"/>
              </w:rPr>
            </w:pPr>
          </w:p>
          <w:p>
            <w:pPr>
              <w:rPr>
                <w:rFonts w:cstheme="minorHAnsi"/>
                <w:sz w:val="20"/>
                <w:szCs w:val="20"/>
              </w:rPr>
            </w:pPr>
            <w:r>
              <w:rPr>
                <w:rFonts w:cstheme="minorHAnsi"/>
                <w:sz w:val="20"/>
                <w:szCs w:val="20"/>
              </w:rPr>
              <w:t>TAs have improved English and Maths and are able to support students (KHu)</w:t>
            </w:r>
          </w:p>
          <w:p>
            <w:pPr>
              <w:rPr>
                <w:rFonts w:cstheme="minorHAnsi"/>
                <w:sz w:val="20"/>
                <w:szCs w:val="20"/>
              </w:rPr>
            </w:pPr>
          </w:p>
          <w:p>
            <w:pPr>
              <w:rPr>
                <w:rFonts w:cstheme="minorHAnsi"/>
                <w:sz w:val="20"/>
                <w:szCs w:val="20"/>
              </w:rPr>
            </w:pPr>
          </w:p>
          <w:p>
            <w:pPr>
              <w:rPr>
                <w:rFonts w:cstheme="minorHAnsi"/>
                <w:sz w:val="20"/>
                <w:szCs w:val="20"/>
              </w:rPr>
            </w:pPr>
          </w:p>
          <w:p>
            <w:pPr>
              <w:rPr>
                <w:rFonts w:cstheme="minorHAnsi"/>
                <w:sz w:val="20"/>
                <w:szCs w:val="20"/>
              </w:rPr>
            </w:pPr>
          </w:p>
          <w:p>
            <w:pPr>
              <w:rPr>
                <w:rFonts w:cstheme="minorHAnsi"/>
                <w:sz w:val="20"/>
                <w:szCs w:val="20"/>
              </w:rPr>
            </w:pPr>
            <w:r>
              <w:rPr>
                <w:rFonts w:cstheme="minorHAnsi"/>
                <w:sz w:val="20"/>
                <w:szCs w:val="20"/>
              </w:rPr>
              <w:t>Reduce gender gap to below 0.3 of a stage in all year groups at KS3 (MTu)</w:t>
            </w:r>
          </w:p>
          <w:p>
            <w:pPr>
              <w:rPr>
                <w:rFonts w:cstheme="minorHAnsi"/>
                <w:sz w:val="20"/>
                <w:szCs w:val="20"/>
              </w:rPr>
            </w:pPr>
          </w:p>
          <w:p>
            <w:pPr>
              <w:rPr>
                <w:rFonts w:cstheme="minorHAnsi"/>
                <w:sz w:val="20"/>
                <w:szCs w:val="20"/>
              </w:rPr>
            </w:pPr>
            <w:r>
              <w:rPr>
                <w:rFonts w:cstheme="minorHAnsi"/>
                <w:sz w:val="20"/>
                <w:szCs w:val="20"/>
              </w:rPr>
              <w:t>Reduce PP gap to below 0.5 of a stage across all year groups in KS3 (MTu)</w:t>
            </w:r>
          </w:p>
          <w:p>
            <w:pPr>
              <w:pStyle w:val="TableRowCentered"/>
              <w:ind w:left="0"/>
              <w:jc w:val="left"/>
              <w:rPr>
                <w:b/>
                <w:szCs w:val="24"/>
              </w:rPr>
            </w:pPr>
          </w:p>
        </w:tc>
        <w:tc>
          <w:tcPr>
            <w:tcW w:w="2977" w:type="dxa"/>
            <w:tcBorders>
              <w:right w:val="single" w:sz="4" w:space="0" w:color="000000"/>
            </w:tcBorders>
            <w:shd w:val="clear" w:color="auto" w:fill="auto"/>
          </w:tcPr>
          <w:p>
            <w:pPr>
              <w:pStyle w:val="TableRowCentered"/>
              <w:ind w:left="0"/>
              <w:jc w:val="left"/>
              <w:rPr>
                <w:sz w:val="20"/>
              </w:rPr>
            </w:pPr>
          </w:p>
          <w:p>
            <w:pPr>
              <w:pStyle w:val="TableRowCentered"/>
              <w:ind w:left="0"/>
              <w:jc w:val="left"/>
              <w:rPr>
                <w:sz w:val="20"/>
              </w:rPr>
            </w:pPr>
            <w:r>
              <w:rPr>
                <w:sz w:val="20"/>
              </w:rPr>
              <w:t>The curriculum was reviewed in each faculty. Now contains clear assessment points.</w:t>
            </w:r>
          </w:p>
          <w:p>
            <w:pPr>
              <w:pStyle w:val="TableRowCentered"/>
              <w:ind w:left="0"/>
              <w:jc w:val="left"/>
              <w:rPr>
                <w:sz w:val="20"/>
              </w:rPr>
            </w:pPr>
          </w:p>
          <w:p>
            <w:pPr>
              <w:pStyle w:val="TableRowCentered"/>
              <w:ind w:left="0"/>
              <w:jc w:val="left"/>
              <w:rPr>
                <w:sz w:val="20"/>
              </w:rPr>
            </w:pPr>
            <w:r>
              <w:rPr>
                <w:sz w:val="20"/>
              </w:rPr>
              <w:t>Transition forms show more detailed information received from primaries.</w:t>
            </w:r>
          </w:p>
          <w:p>
            <w:pPr>
              <w:rPr>
                <w:u w:val="single"/>
                <w:lang w:eastAsia="en-GB"/>
              </w:rPr>
            </w:pPr>
          </w:p>
          <w:p>
            <w:pPr>
              <w:rPr>
                <w:u w:val="single"/>
                <w:lang w:eastAsia="en-GB"/>
              </w:rPr>
            </w:pPr>
          </w:p>
          <w:p>
            <w:pPr>
              <w:rPr>
                <w:u w:val="single"/>
                <w:lang w:eastAsia="en-GB"/>
              </w:rPr>
            </w:pPr>
          </w:p>
          <w:p>
            <w:pPr>
              <w:rPr>
                <w:u w:val="single"/>
                <w:lang w:eastAsia="en-GB"/>
              </w:rPr>
            </w:pPr>
          </w:p>
          <w:p>
            <w:pPr>
              <w:rPr>
                <w:u w:val="single"/>
                <w:lang w:eastAsia="en-GB"/>
              </w:rPr>
            </w:pPr>
          </w:p>
          <w:p>
            <w:pPr>
              <w:rPr>
                <w:u w:val="single"/>
                <w:lang w:eastAsia="en-GB"/>
              </w:rPr>
            </w:pPr>
          </w:p>
          <w:p>
            <w:pPr>
              <w:rPr>
                <w:u w:val="single"/>
                <w:lang w:eastAsia="en-GB"/>
              </w:rPr>
            </w:pPr>
            <w:r>
              <w:rPr>
                <w:u w:val="single"/>
                <w:lang w:eastAsia="en-GB"/>
              </w:rPr>
              <w:t>SEND</w:t>
            </w:r>
          </w:p>
          <w:p>
            <w:pPr>
              <w:rPr>
                <w:lang w:eastAsia="en-GB"/>
              </w:rPr>
            </w:pPr>
            <w:r>
              <w:rPr>
                <w:noProof/>
                <w:lang w:eastAsia="en-GB"/>
              </w:rPr>
              <w:drawing>
                <wp:anchor distT="0" distB="0" distL="114300" distR="114300" simplePos="0" relativeHeight="251659264" behindDoc="0" locked="0" layoutInCell="1" allowOverlap="1">
                  <wp:simplePos x="0" y="0"/>
                  <wp:positionH relativeFrom="column">
                    <wp:posOffset>-43180</wp:posOffset>
                  </wp:positionH>
                  <wp:positionV relativeFrom="paragraph">
                    <wp:posOffset>116840</wp:posOffset>
                  </wp:positionV>
                  <wp:extent cx="3452190" cy="8077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452190" cy="807720"/>
                          </a:xfrm>
                          <a:prstGeom prst="rect">
                            <a:avLst/>
                          </a:prstGeom>
                        </pic:spPr>
                      </pic:pic>
                    </a:graphicData>
                  </a:graphic>
                  <wp14:sizeRelH relativeFrom="margin">
                    <wp14:pctWidth>0</wp14:pctWidth>
                  </wp14:sizeRelH>
                  <wp14:sizeRelV relativeFrom="margin">
                    <wp14:pctHeight>0</wp14:pctHeight>
                  </wp14:sizeRelV>
                </wp:anchor>
              </w:drawing>
            </w: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r>
              <w:rPr>
                <w:lang w:eastAsia="en-GB"/>
              </w:rPr>
              <w:t>Students with SEND have higher attainment than the last set of actual result in 2018/2019.</w:t>
            </w:r>
          </w:p>
          <w:p>
            <w:pPr>
              <w:rPr>
                <w:lang w:eastAsia="en-GB"/>
              </w:rPr>
            </w:pPr>
            <w:r>
              <w:rPr>
                <w:noProof/>
                <w:lang w:eastAsia="en-GB"/>
              </w:rPr>
              <w:drawing>
                <wp:anchor distT="0" distB="0" distL="114300" distR="114300" simplePos="0" relativeHeight="251660288" behindDoc="0" locked="0" layoutInCell="1" allowOverlap="1">
                  <wp:simplePos x="0" y="0"/>
                  <wp:positionH relativeFrom="column">
                    <wp:posOffset>2541</wp:posOffset>
                  </wp:positionH>
                  <wp:positionV relativeFrom="paragraph">
                    <wp:posOffset>169546</wp:posOffset>
                  </wp:positionV>
                  <wp:extent cx="3451860" cy="840148"/>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75428" cy="845884"/>
                          </a:xfrm>
                          <a:prstGeom prst="rect">
                            <a:avLst/>
                          </a:prstGeom>
                        </pic:spPr>
                      </pic:pic>
                    </a:graphicData>
                  </a:graphic>
                  <wp14:sizeRelH relativeFrom="margin">
                    <wp14:pctWidth>0</wp14:pctWidth>
                  </wp14:sizeRelH>
                  <wp14:sizeRelV relativeFrom="margin">
                    <wp14:pctHeight>0</wp14:pctHeight>
                  </wp14:sizeRelV>
                </wp:anchor>
              </w:drawing>
            </w:r>
          </w:p>
          <w:p>
            <w:pPr>
              <w:rPr>
                <w:lang w:eastAsia="en-GB"/>
              </w:rPr>
            </w:pPr>
          </w:p>
          <w:p>
            <w:pPr>
              <w:rPr>
                <w:lang w:eastAsia="en-GB"/>
              </w:rPr>
            </w:pPr>
          </w:p>
          <w:p>
            <w:pPr>
              <w:ind w:firstLine="720"/>
              <w:rPr>
                <w:lang w:eastAsia="en-GB"/>
              </w:rPr>
            </w:pPr>
          </w:p>
          <w:p>
            <w:pPr>
              <w:rPr>
                <w:lang w:eastAsia="en-GB"/>
              </w:rPr>
            </w:pPr>
          </w:p>
          <w:p>
            <w:pPr>
              <w:rPr>
                <w:lang w:eastAsia="en-GB"/>
              </w:rPr>
            </w:pPr>
          </w:p>
          <w:p>
            <w:pPr>
              <w:rPr>
                <w:lang w:eastAsia="en-GB"/>
              </w:rPr>
            </w:pPr>
            <w:r>
              <w:rPr>
                <w:lang w:eastAsia="en-GB"/>
              </w:rPr>
              <w:t>However,</w:t>
            </w:r>
          </w:p>
          <w:p>
            <w:pPr>
              <w:rPr>
                <w:lang w:eastAsia="en-GB"/>
              </w:rPr>
            </w:pPr>
            <w:r>
              <w:rPr>
                <w:lang w:eastAsia="en-GB"/>
              </w:rPr>
              <w:t xml:space="preserve">SEND students are monitored individually as this is always cohort specific. </w:t>
            </w:r>
          </w:p>
          <w:p>
            <w:pPr>
              <w:rPr>
                <w:lang w:eastAsia="en-GB"/>
              </w:rPr>
            </w:pPr>
          </w:p>
          <w:p>
            <w:pPr>
              <w:rPr>
                <w:lang w:eastAsia="en-GB"/>
              </w:rPr>
            </w:pPr>
            <w:r>
              <w:rPr>
                <w:lang w:eastAsia="en-GB"/>
              </w:rPr>
              <w:lastRenderedPageBreak/>
              <w:t>Students with SEND are further behind their target than other students</w:t>
            </w: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r>
              <w:rPr>
                <w:lang w:eastAsia="en-GB"/>
              </w:rPr>
              <w:t>Stages are not directly comparable due to changes during lockdown.</w:t>
            </w:r>
          </w:p>
        </w:tc>
        <w:tc>
          <w:tcPr>
            <w:tcW w:w="2977" w:type="dxa"/>
            <w:tcBorders>
              <w:right w:val="single" w:sz="4" w:space="0" w:color="000000"/>
            </w:tcBorders>
            <w:shd w:val="clear" w:color="auto" w:fill="auto"/>
          </w:tcPr>
          <w:p>
            <w:pPr>
              <w:pStyle w:val="TableRowCentered"/>
              <w:ind w:left="0"/>
              <w:jc w:val="left"/>
              <w:rPr>
                <w:b/>
                <w:szCs w:val="24"/>
              </w:rPr>
            </w:pPr>
          </w:p>
          <w:p>
            <w:pPr>
              <w:pStyle w:val="TableRowCentered"/>
              <w:ind w:left="0"/>
              <w:jc w:val="left"/>
              <w:rPr>
                <w:sz w:val="20"/>
              </w:rPr>
            </w:pPr>
            <w:r>
              <w:rPr>
                <w:sz w:val="20"/>
              </w:rPr>
              <w:t xml:space="preserve">SEND students attainment is improving each year. However, there is still a need to increase the capacity on </w:t>
            </w:r>
            <w:r>
              <w:rPr>
                <w:sz w:val="20"/>
              </w:rPr>
              <w:lastRenderedPageBreak/>
              <w:t>the inclusion faculty and this will be reflected in 2021-2022 strategy.</w:t>
            </w:r>
          </w:p>
          <w:p>
            <w:pPr>
              <w:pStyle w:val="TableRowCentered"/>
              <w:ind w:left="0"/>
              <w:jc w:val="left"/>
              <w:rPr>
                <w:b/>
                <w:szCs w:val="24"/>
              </w:rPr>
            </w:pPr>
          </w:p>
          <w:p>
            <w:pPr>
              <w:pStyle w:val="TableRowCentered"/>
              <w:ind w:left="0"/>
              <w:jc w:val="left"/>
              <w:rPr>
                <w:b/>
                <w:szCs w:val="24"/>
              </w:rPr>
            </w:pPr>
          </w:p>
          <w:p>
            <w:pPr>
              <w:pStyle w:val="TableRowCentered"/>
              <w:ind w:left="0"/>
              <w:jc w:val="left"/>
              <w:rPr>
                <w:b/>
                <w:szCs w:val="24"/>
              </w:rPr>
            </w:pPr>
          </w:p>
          <w:p>
            <w:pPr>
              <w:pStyle w:val="TableRowCentered"/>
              <w:ind w:left="0"/>
              <w:jc w:val="left"/>
              <w:rPr>
                <w:b/>
                <w:szCs w:val="24"/>
              </w:rPr>
            </w:pPr>
          </w:p>
          <w:p>
            <w:pPr>
              <w:pStyle w:val="TableRowCentered"/>
              <w:ind w:left="0"/>
              <w:jc w:val="left"/>
              <w:rPr>
                <w:b/>
                <w:szCs w:val="24"/>
              </w:rPr>
            </w:pPr>
          </w:p>
          <w:p>
            <w:pPr>
              <w:pStyle w:val="TableRowCentered"/>
              <w:ind w:left="0"/>
              <w:jc w:val="left"/>
              <w:rPr>
                <w:b/>
                <w:szCs w:val="24"/>
              </w:rPr>
            </w:pPr>
          </w:p>
          <w:p>
            <w:pPr>
              <w:pStyle w:val="TableRowCentered"/>
              <w:ind w:left="0"/>
              <w:jc w:val="left"/>
              <w:rPr>
                <w:b/>
                <w:szCs w:val="24"/>
              </w:rPr>
            </w:pPr>
          </w:p>
          <w:p>
            <w:pPr>
              <w:pStyle w:val="TableRowCentered"/>
              <w:ind w:left="0"/>
              <w:jc w:val="left"/>
              <w:rPr>
                <w:b/>
                <w:szCs w:val="24"/>
              </w:rPr>
            </w:pPr>
          </w:p>
          <w:p>
            <w:pPr>
              <w:pStyle w:val="TableRowCentered"/>
              <w:ind w:left="0"/>
              <w:jc w:val="left"/>
              <w:rPr>
                <w:b/>
                <w:szCs w:val="24"/>
              </w:rPr>
            </w:pPr>
          </w:p>
          <w:p>
            <w:pPr>
              <w:pStyle w:val="TableRowCentered"/>
              <w:ind w:left="0"/>
              <w:jc w:val="left"/>
              <w:rPr>
                <w:b/>
                <w:szCs w:val="24"/>
              </w:rPr>
            </w:pPr>
          </w:p>
          <w:p>
            <w:pPr>
              <w:pStyle w:val="TableRowCentered"/>
              <w:ind w:left="0"/>
              <w:jc w:val="left"/>
              <w:rPr>
                <w:b/>
                <w:szCs w:val="24"/>
              </w:rPr>
            </w:pPr>
          </w:p>
          <w:p>
            <w:pPr>
              <w:pStyle w:val="TableRowCentered"/>
              <w:ind w:left="0"/>
              <w:jc w:val="left"/>
              <w:rPr>
                <w:b/>
                <w:szCs w:val="24"/>
              </w:rPr>
            </w:pPr>
          </w:p>
          <w:p>
            <w:pPr>
              <w:pStyle w:val="TableRowCentered"/>
              <w:ind w:left="0"/>
              <w:jc w:val="left"/>
              <w:rPr>
                <w:b/>
                <w:szCs w:val="24"/>
              </w:rPr>
            </w:pPr>
          </w:p>
          <w:p>
            <w:pPr>
              <w:pStyle w:val="TableRowCentered"/>
              <w:ind w:left="0"/>
              <w:jc w:val="left"/>
              <w:rPr>
                <w:b/>
                <w:szCs w:val="24"/>
              </w:rPr>
            </w:pPr>
          </w:p>
          <w:p>
            <w:pPr>
              <w:pStyle w:val="TableRowCentered"/>
              <w:ind w:left="0"/>
              <w:jc w:val="left"/>
              <w:rPr>
                <w:b/>
                <w:szCs w:val="24"/>
              </w:rPr>
            </w:pPr>
          </w:p>
          <w:p>
            <w:pPr>
              <w:pStyle w:val="TableRowCentered"/>
              <w:ind w:left="0"/>
              <w:jc w:val="left"/>
              <w:rPr>
                <w:b/>
                <w:szCs w:val="24"/>
              </w:rPr>
            </w:pPr>
          </w:p>
          <w:p>
            <w:pPr>
              <w:pStyle w:val="TableRowCentered"/>
              <w:ind w:left="0"/>
              <w:jc w:val="left"/>
              <w:rPr>
                <w:b/>
                <w:szCs w:val="24"/>
              </w:rPr>
            </w:pPr>
          </w:p>
          <w:p>
            <w:pPr>
              <w:pStyle w:val="TableRowCentered"/>
              <w:ind w:left="0"/>
              <w:jc w:val="left"/>
              <w:rPr>
                <w:b/>
                <w:szCs w:val="24"/>
              </w:rPr>
            </w:pPr>
          </w:p>
          <w:p>
            <w:pPr>
              <w:pStyle w:val="TableRowCentered"/>
              <w:ind w:left="0"/>
              <w:jc w:val="left"/>
              <w:rPr>
                <w:b/>
                <w:szCs w:val="24"/>
              </w:rPr>
            </w:pPr>
          </w:p>
        </w:tc>
        <w:tc>
          <w:tcPr>
            <w:tcW w:w="2977" w:type="dxa"/>
            <w:tcBorders>
              <w:right w:val="single" w:sz="4" w:space="0" w:color="000000"/>
            </w:tcBorders>
            <w:shd w:val="clear" w:color="auto" w:fill="auto"/>
          </w:tcPr>
          <w:p>
            <w:pPr>
              <w:rPr>
                <w:rFonts w:cstheme="minorHAnsi"/>
                <w:sz w:val="20"/>
                <w:szCs w:val="20"/>
              </w:rPr>
            </w:pPr>
            <w:r>
              <w:rPr>
                <w:rFonts w:cstheme="minorHAnsi"/>
                <w:sz w:val="20"/>
                <w:szCs w:val="20"/>
              </w:rPr>
              <w:lastRenderedPageBreak/>
              <w:t>Proportion of HoY time (on confidential strategy)</w:t>
            </w:r>
          </w:p>
          <w:p>
            <w:pPr>
              <w:ind w:left="61"/>
              <w:rPr>
                <w:rFonts w:cstheme="minorHAnsi"/>
                <w:sz w:val="20"/>
                <w:szCs w:val="20"/>
              </w:rPr>
            </w:pPr>
          </w:p>
          <w:p>
            <w:pPr>
              <w:ind w:left="61"/>
              <w:rPr>
                <w:rFonts w:cstheme="minorHAnsi"/>
                <w:sz w:val="20"/>
                <w:szCs w:val="20"/>
              </w:rPr>
            </w:pPr>
          </w:p>
          <w:p>
            <w:pPr>
              <w:ind w:left="61"/>
              <w:rPr>
                <w:rFonts w:cstheme="minorHAnsi"/>
                <w:sz w:val="20"/>
                <w:szCs w:val="20"/>
              </w:rPr>
            </w:pPr>
          </w:p>
          <w:p>
            <w:pPr>
              <w:ind w:left="61"/>
              <w:rPr>
                <w:rFonts w:cstheme="minorHAnsi"/>
                <w:sz w:val="20"/>
                <w:szCs w:val="20"/>
              </w:rPr>
            </w:pPr>
            <w:r>
              <w:rPr>
                <w:rFonts w:cstheme="minorHAnsi"/>
                <w:sz w:val="20"/>
                <w:szCs w:val="20"/>
              </w:rPr>
              <w:lastRenderedPageBreak/>
              <w:t>Class charts (on first page)</w:t>
            </w:r>
          </w:p>
          <w:p>
            <w:pPr>
              <w:ind w:left="61"/>
              <w:rPr>
                <w:rFonts w:cstheme="minorHAnsi"/>
                <w:sz w:val="20"/>
                <w:szCs w:val="20"/>
              </w:rPr>
            </w:pPr>
          </w:p>
          <w:p>
            <w:pPr>
              <w:ind w:left="61"/>
              <w:rPr>
                <w:rFonts w:cstheme="minorHAnsi"/>
                <w:sz w:val="20"/>
                <w:szCs w:val="20"/>
              </w:rPr>
            </w:pPr>
          </w:p>
          <w:p>
            <w:pPr>
              <w:rPr>
                <w:rFonts w:cstheme="minorHAnsi"/>
                <w:sz w:val="20"/>
                <w:szCs w:val="20"/>
              </w:rPr>
            </w:pPr>
          </w:p>
          <w:p>
            <w:pPr>
              <w:rPr>
                <w:rFonts w:cstheme="minorHAnsi"/>
                <w:sz w:val="20"/>
                <w:szCs w:val="20"/>
              </w:rPr>
            </w:pPr>
          </w:p>
          <w:p>
            <w:pPr>
              <w:tabs>
                <w:tab w:val="left" w:pos="1088"/>
                <w:tab w:val="right" w:pos="1882"/>
              </w:tabs>
              <w:rPr>
                <w:rFonts w:cstheme="minorHAnsi"/>
                <w:sz w:val="20"/>
                <w:szCs w:val="20"/>
              </w:rPr>
            </w:pPr>
            <w:r>
              <w:rPr>
                <w:rFonts w:cstheme="minorHAnsi"/>
                <w:sz w:val="20"/>
                <w:szCs w:val="20"/>
              </w:rPr>
              <w:t>PowerBi £717</w:t>
            </w:r>
            <w:r>
              <w:rPr>
                <w:rFonts w:cstheme="minorHAnsi"/>
                <w:sz w:val="20"/>
                <w:szCs w:val="20"/>
              </w:rPr>
              <w:tab/>
              <w:t xml:space="preserve"> </w:t>
            </w:r>
            <w:r>
              <w:rPr>
                <w:rFonts w:cstheme="minorHAnsi"/>
                <w:sz w:val="20"/>
                <w:szCs w:val="20"/>
              </w:rPr>
              <w:tab/>
            </w:r>
          </w:p>
          <w:p>
            <w:pPr>
              <w:rPr>
                <w:rFonts w:cstheme="minorHAnsi"/>
                <w:sz w:val="20"/>
                <w:szCs w:val="20"/>
              </w:rPr>
            </w:pPr>
          </w:p>
          <w:p>
            <w:pPr>
              <w:rPr>
                <w:rFonts w:cstheme="minorHAnsi"/>
                <w:sz w:val="20"/>
                <w:szCs w:val="20"/>
              </w:rPr>
            </w:pPr>
            <w:r>
              <w:rPr>
                <w:rFonts w:cstheme="minorHAnsi"/>
                <w:sz w:val="20"/>
                <w:szCs w:val="20"/>
              </w:rPr>
              <w:t>Gifted and talented coordinator proportion of salary (on confidential strategy)</w:t>
            </w:r>
          </w:p>
          <w:p>
            <w:pPr>
              <w:rPr>
                <w:rFonts w:cstheme="minorHAnsi"/>
                <w:sz w:val="20"/>
                <w:szCs w:val="20"/>
              </w:rPr>
            </w:pPr>
          </w:p>
          <w:p>
            <w:pPr>
              <w:rPr>
                <w:rFonts w:cstheme="minorHAnsi"/>
                <w:sz w:val="20"/>
                <w:szCs w:val="20"/>
              </w:rPr>
            </w:pPr>
          </w:p>
          <w:p>
            <w:pPr>
              <w:rPr>
                <w:rFonts w:cstheme="minorHAnsi"/>
                <w:sz w:val="20"/>
                <w:szCs w:val="20"/>
              </w:rPr>
            </w:pPr>
            <w:r>
              <w:rPr>
                <w:rFonts w:cstheme="minorHAnsi"/>
                <w:sz w:val="20"/>
                <w:szCs w:val="20"/>
              </w:rPr>
              <w:t>Proportion of AHT/SENCO salary (on confidential strategy)</w:t>
            </w:r>
          </w:p>
          <w:p>
            <w:pPr>
              <w:rPr>
                <w:rFonts w:cstheme="minorHAnsi"/>
                <w:sz w:val="20"/>
                <w:szCs w:val="20"/>
              </w:rPr>
            </w:pPr>
          </w:p>
          <w:p>
            <w:pPr>
              <w:rPr>
                <w:rFonts w:cstheme="minorHAnsi"/>
                <w:sz w:val="20"/>
                <w:szCs w:val="20"/>
              </w:rPr>
            </w:pPr>
          </w:p>
          <w:p>
            <w:pPr>
              <w:rPr>
                <w:rFonts w:cstheme="minorHAnsi"/>
                <w:sz w:val="20"/>
                <w:szCs w:val="20"/>
              </w:rPr>
            </w:pPr>
            <w:r>
              <w:rPr>
                <w:rFonts w:cstheme="minorHAnsi"/>
                <w:sz w:val="20"/>
                <w:szCs w:val="20"/>
              </w:rPr>
              <w:t xml:space="preserve">Numeracy Coordinator </w:t>
            </w:r>
          </w:p>
          <w:p>
            <w:pPr>
              <w:rPr>
                <w:rFonts w:cstheme="minorHAnsi"/>
                <w:sz w:val="20"/>
                <w:szCs w:val="20"/>
              </w:rPr>
            </w:pPr>
            <w:r>
              <w:rPr>
                <w:rFonts w:cstheme="minorHAnsi"/>
                <w:sz w:val="20"/>
                <w:szCs w:val="20"/>
              </w:rPr>
              <w:t>(on confidential strategy)</w:t>
            </w:r>
          </w:p>
          <w:p>
            <w:pPr>
              <w:rPr>
                <w:rFonts w:cstheme="minorHAnsi"/>
                <w:sz w:val="20"/>
                <w:szCs w:val="20"/>
              </w:rPr>
            </w:pPr>
          </w:p>
          <w:p>
            <w:pPr>
              <w:rPr>
                <w:rFonts w:cstheme="minorHAnsi"/>
                <w:sz w:val="20"/>
                <w:szCs w:val="20"/>
              </w:rPr>
            </w:pPr>
            <w:r>
              <w:rPr>
                <w:rFonts w:cstheme="minorHAnsi"/>
                <w:sz w:val="20"/>
                <w:szCs w:val="20"/>
              </w:rPr>
              <w:t>Proportion of learning mentor salary (on confidential strategy)</w:t>
            </w:r>
          </w:p>
          <w:p>
            <w:pPr>
              <w:rPr>
                <w:rFonts w:cstheme="minorHAnsi"/>
                <w:sz w:val="20"/>
                <w:szCs w:val="20"/>
              </w:rPr>
            </w:pPr>
          </w:p>
          <w:p>
            <w:pPr>
              <w:pStyle w:val="TableRowCentered"/>
              <w:ind w:left="0"/>
              <w:jc w:val="left"/>
              <w:rPr>
                <w:b/>
                <w:szCs w:val="24"/>
              </w:rPr>
            </w:pPr>
          </w:p>
        </w:tc>
      </w:tr>
      <w:tr>
        <w:trPr>
          <w:trHeight w:val="58"/>
        </w:trPr>
        <w:tc>
          <w:tcPr>
            <w:tcW w:w="4254" w:type="dxa"/>
            <w:tcBorders>
              <w:right w:val="single" w:sz="4" w:space="0" w:color="000000"/>
            </w:tcBorders>
            <w:shd w:val="clear" w:color="auto" w:fill="auto"/>
          </w:tcPr>
          <w:p>
            <w:pPr>
              <w:numPr>
                <w:ilvl w:val="0"/>
                <w:numId w:val="18"/>
              </w:numPr>
              <w:contextualSpacing/>
              <w:rPr>
                <w:rFonts w:cstheme="minorHAnsi"/>
                <w:sz w:val="20"/>
                <w:szCs w:val="20"/>
              </w:rPr>
            </w:pPr>
            <w:r>
              <w:rPr>
                <w:rFonts w:cstheme="minorHAnsi"/>
                <w:sz w:val="20"/>
                <w:szCs w:val="20"/>
              </w:rPr>
              <w:lastRenderedPageBreak/>
              <w:t>Review KS4 SOW to account for lost learning /PP who did not have access to online resources (AKE)</w:t>
            </w:r>
          </w:p>
          <w:p>
            <w:pPr>
              <w:numPr>
                <w:ilvl w:val="0"/>
                <w:numId w:val="18"/>
              </w:numPr>
              <w:contextualSpacing/>
              <w:rPr>
                <w:rFonts w:cstheme="minorHAnsi"/>
                <w:sz w:val="20"/>
                <w:szCs w:val="20"/>
              </w:rPr>
            </w:pPr>
            <w:r>
              <w:rPr>
                <w:rFonts w:cstheme="minorHAnsi"/>
                <w:sz w:val="20"/>
                <w:szCs w:val="20"/>
              </w:rPr>
              <w:t>Monitor engagement of on line learning to ensure PP students have access(MTU)</w:t>
            </w:r>
          </w:p>
          <w:p>
            <w:pPr>
              <w:numPr>
                <w:ilvl w:val="0"/>
                <w:numId w:val="18"/>
              </w:numPr>
              <w:contextualSpacing/>
              <w:rPr>
                <w:rFonts w:cstheme="minorHAnsi"/>
                <w:sz w:val="20"/>
                <w:szCs w:val="20"/>
              </w:rPr>
            </w:pPr>
            <w:r>
              <w:rPr>
                <w:rFonts w:cstheme="minorHAnsi"/>
                <w:sz w:val="20"/>
                <w:szCs w:val="20"/>
              </w:rPr>
              <w:t>Provide laptops for students who are PP (JRI/PMC)</w:t>
            </w:r>
          </w:p>
          <w:p>
            <w:pPr>
              <w:numPr>
                <w:ilvl w:val="0"/>
                <w:numId w:val="18"/>
              </w:numPr>
              <w:contextualSpacing/>
              <w:rPr>
                <w:rFonts w:cstheme="minorHAnsi"/>
                <w:sz w:val="20"/>
                <w:szCs w:val="20"/>
              </w:rPr>
            </w:pPr>
            <w:r>
              <w:rPr>
                <w:rFonts w:cstheme="minorHAnsi"/>
                <w:sz w:val="20"/>
                <w:szCs w:val="20"/>
              </w:rPr>
              <w:lastRenderedPageBreak/>
              <w:t xml:space="preserve">Implement a whole school assessment </w:t>
            </w:r>
            <w:r>
              <w:rPr>
                <w:rFonts w:cstheme="minorHAnsi"/>
                <w:sz w:val="20"/>
                <w:szCs w:val="20"/>
              </w:rPr>
              <w:br/>
              <w:t>calendar that is meaningful and purposeful (MTu)</w:t>
            </w:r>
          </w:p>
          <w:p>
            <w:pPr>
              <w:numPr>
                <w:ilvl w:val="0"/>
                <w:numId w:val="18"/>
              </w:numPr>
              <w:contextualSpacing/>
              <w:rPr>
                <w:rFonts w:cstheme="minorHAnsi"/>
                <w:sz w:val="20"/>
                <w:szCs w:val="20"/>
              </w:rPr>
            </w:pPr>
            <w:r>
              <w:rPr>
                <w:rFonts w:cstheme="minorHAnsi"/>
                <w:sz w:val="20"/>
                <w:szCs w:val="20"/>
              </w:rPr>
              <w:t>Ensure assessment is purposeful and is used by middle leaders to accurately inform intervention plans(MTu)</w:t>
            </w:r>
          </w:p>
          <w:p>
            <w:pPr>
              <w:numPr>
                <w:ilvl w:val="0"/>
                <w:numId w:val="18"/>
              </w:numPr>
              <w:contextualSpacing/>
              <w:rPr>
                <w:rFonts w:cstheme="minorHAnsi"/>
                <w:sz w:val="20"/>
                <w:szCs w:val="20"/>
              </w:rPr>
            </w:pPr>
            <w:r>
              <w:rPr>
                <w:rFonts w:cstheme="minorHAnsi"/>
                <w:sz w:val="20"/>
                <w:szCs w:val="20"/>
              </w:rPr>
              <w:t>Ensure the options process is broad and inclusive of all, disadvantaged and those with SEND (JRi/</w:t>
            </w:r>
          </w:p>
          <w:p>
            <w:pPr>
              <w:numPr>
                <w:ilvl w:val="0"/>
                <w:numId w:val="18"/>
              </w:numPr>
              <w:contextualSpacing/>
              <w:rPr>
                <w:rFonts w:cstheme="minorHAnsi"/>
                <w:sz w:val="20"/>
                <w:szCs w:val="20"/>
              </w:rPr>
            </w:pPr>
            <w:r>
              <w:rPr>
                <w:rFonts w:cstheme="minorHAnsi"/>
                <w:sz w:val="20"/>
                <w:szCs w:val="20"/>
              </w:rPr>
              <w:t>TAC to provide interventions around mental health and emotional support</w:t>
            </w:r>
          </w:p>
          <w:p>
            <w:pPr>
              <w:numPr>
                <w:ilvl w:val="0"/>
                <w:numId w:val="18"/>
              </w:numPr>
              <w:contextualSpacing/>
              <w:rPr>
                <w:rFonts w:cstheme="minorHAnsi"/>
                <w:sz w:val="20"/>
                <w:szCs w:val="20"/>
              </w:rPr>
            </w:pPr>
            <w:r>
              <w:rPr>
                <w:rFonts w:cstheme="minorHAnsi"/>
                <w:sz w:val="20"/>
                <w:szCs w:val="20"/>
              </w:rPr>
              <w:t>Specific extra learning sessions with clear plan to support risk assessment (MTu)</w:t>
            </w:r>
          </w:p>
          <w:p>
            <w:pPr>
              <w:numPr>
                <w:ilvl w:val="0"/>
                <w:numId w:val="18"/>
              </w:numPr>
              <w:contextualSpacing/>
              <w:rPr>
                <w:rFonts w:cstheme="minorHAnsi"/>
                <w:sz w:val="20"/>
                <w:szCs w:val="20"/>
              </w:rPr>
            </w:pPr>
            <w:r>
              <w:rPr>
                <w:rFonts w:cstheme="minorHAnsi"/>
                <w:sz w:val="20"/>
                <w:szCs w:val="20"/>
              </w:rPr>
              <w:t>Review of GCSE preparation timetable leading up to exams(MTu)</w:t>
            </w:r>
          </w:p>
          <w:p>
            <w:pPr>
              <w:numPr>
                <w:ilvl w:val="0"/>
                <w:numId w:val="18"/>
              </w:numPr>
              <w:contextualSpacing/>
              <w:rPr>
                <w:rFonts w:cstheme="minorHAnsi"/>
                <w:sz w:val="20"/>
                <w:szCs w:val="20"/>
              </w:rPr>
            </w:pPr>
            <w:r>
              <w:rPr>
                <w:rFonts w:cstheme="minorHAnsi"/>
                <w:sz w:val="20"/>
                <w:szCs w:val="20"/>
              </w:rPr>
              <w:t xml:space="preserve">How to revise sessions including providing revision resources (Diaries/highlighters/post its/revision cards) (MTu/WLY) </w:t>
            </w:r>
          </w:p>
          <w:p>
            <w:pPr>
              <w:numPr>
                <w:ilvl w:val="0"/>
                <w:numId w:val="18"/>
              </w:numPr>
              <w:contextualSpacing/>
              <w:rPr>
                <w:rFonts w:cstheme="minorHAnsi"/>
                <w:sz w:val="20"/>
                <w:szCs w:val="20"/>
              </w:rPr>
            </w:pPr>
            <w:r>
              <w:rPr>
                <w:rFonts w:cstheme="minorHAnsi"/>
                <w:sz w:val="20"/>
                <w:szCs w:val="20"/>
              </w:rPr>
              <w:t>Refreshments including bottles of water for students PP students during exams (MTu)</w:t>
            </w:r>
          </w:p>
          <w:p>
            <w:pPr>
              <w:numPr>
                <w:ilvl w:val="0"/>
                <w:numId w:val="18"/>
              </w:numPr>
              <w:contextualSpacing/>
              <w:rPr>
                <w:rFonts w:cstheme="minorHAnsi"/>
                <w:sz w:val="20"/>
                <w:szCs w:val="20"/>
              </w:rPr>
            </w:pPr>
            <w:r>
              <w:rPr>
                <w:rFonts w:cstheme="minorHAnsi"/>
                <w:sz w:val="20"/>
                <w:szCs w:val="20"/>
              </w:rPr>
              <w:t>Revision guides purchased for most vulnerable (MTu)</w:t>
            </w:r>
          </w:p>
          <w:p>
            <w:pPr>
              <w:numPr>
                <w:ilvl w:val="0"/>
                <w:numId w:val="18"/>
              </w:numPr>
              <w:contextualSpacing/>
              <w:rPr>
                <w:rFonts w:cstheme="minorHAnsi"/>
                <w:sz w:val="20"/>
                <w:szCs w:val="20"/>
              </w:rPr>
            </w:pPr>
            <w:r>
              <w:rPr>
                <w:rFonts w:cstheme="minorHAnsi"/>
                <w:sz w:val="20"/>
                <w:szCs w:val="20"/>
              </w:rPr>
              <w:t>Identification of students under performing at KS4 and relevant interventions used within faculties and through TAC (MTu/SDO/SDU)</w:t>
            </w:r>
          </w:p>
          <w:p>
            <w:pPr>
              <w:numPr>
                <w:ilvl w:val="0"/>
                <w:numId w:val="18"/>
              </w:numPr>
              <w:contextualSpacing/>
              <w:rPr>
                <w:rFonts w:cstheme="minorHAnsi"/>
                <w:sz w:val="20"/>
                <w:szCs w:val="20"/>
              </w:rPr>
            </w:pPr>
            <w:r>
              <w:rPr>
                <w:rFonts w:cstheme="minorHAnsi"/>
                <w:sz w:val="20"/>
                <w:szCs w:val="20"/>
              </w:rPr>
              <w:t>Parent phone calls made by form tutors in place of parents evening including key targets and exam up to date exam information(MTu/SDO)</w:t>
            </w:r>
          </w:p>
          <w:p>
            <w:pPr>
              <w:numPr>
                <w:ilvl w:val="0"/>
                <w:numId w:val="18"/>
              </w:numPr>
              <w:contextualSpacing/>
              <w:rPr>
                <w:rFonts w:cstheme="minorHAnsi"/>
                <w:sz w:val="20"/>
                <w:szCs w:val="20"/>
              </w:rPr>
            </w:pPr>
            <w:r>
              <w:rPr>
                <w:rFonts w:cstheme="minorHAnsi"/>
                <w:sz w:val="20"/>
                <w:szCs w:val="20"/>
              </w:rPr>
              <w:t>Two parents evenings for year 11-PHONE CALLS (Oct20 and Jan 21)</w:t>
            </w:r>
          </w:p>
          <w:p>
            <w:pPr>
              <w:pStyle w:val="TableRowCentered"/>
              <w:numPr>
                <w:ilvl w:val="0"/>
                <w:numId w:val="18"/>
              </w:numPr>
              <w:jc w:val="left"/>
              <w:rPr>
                <w:b/>
                <w:szCs w:val="24"/>
              </w:rPr>
            </w:pPr>
            <w:r>
              <w:rPr>
                <w:rFonts w:asciiTheme="minorHAnsi" w:eastAsiaTheme="minorHAnsi" w:hAnsiTheme="minorHAnsi" w:cstheme="minorHAnsi"/>
                <w:color w:val="auto"/>
                <w:sz w:val="20"/>
                <w:lang w:eastAsia="en-US"/>
              </w:rPr>
              <w:lastRenderedPageBreak/>
              <w:t>Target PP students given a mentor Y10/Y11 and progress monitored (Oct20)</w:t>
            </w:r>
          </w:p>
        </w:tc>
        <w:tc>
          <w:tcPr>
            <w:tcW w:w="1700" w:type="dxa"/>
            <w:tcBorders>
              <w:right w:val="single" w:sz="4" w:space="0" w:color="000000"/>
            </w:tcBorders>
            <w:shd w:val="clear" w:color="auto" w:fill="auto"/>
          </w:tcPr>
          <w:p>
            <w:pPr>
              <w:pStyle w:val="TableRowCentered"/>
              <w:ind w:left="0"/>
              <w:jc w:val="left"/>
              <w:rPr>
                <w:b/>
                <w:szCs w:val="24"/>
              </w:rPr>
            </w:pPr>
            <w:r>
              <w:rPr>
                <w:rFonts w:cstheme="minorHAnsi"/>
                <w:b/>
                <w:sz w:val="20"/>
              </w:rPr>
              <w:lastRenderedPageBreak/>
              <w:t xml:space="preserve">Attainment gap at KS4 between disadvantaged students and National to be reduced to less than 0.5 </w:t>
            </w:r>
            <w:r>
              <w:rPr>
                <w:rFonts w:cstheme="minorHAnsi"/>
                <w:b/>
                <w:sz w:val="20"/>
              </w:rPr>
              <w:lastRenderedPageBreak/>
              <w:t>(average grade)</w:t>
            </w:r>
          </w:p>
          <w:p>
            <w:pPr>
              <w:rPr>
                <w:lang w:eastAsia="en-GB"/>
              </w:rPr>
            </w:pPr>
          </w:p>
          <w:p>
            <w:pPr>
              <w:autoSpaceDE w:val="0"/>
              <w:autoSpaceDN w:val="0"/>
              <w:adjustRightInd w:val="0"/>
              <w:rPr>
                <w:rFonts w:cstheme="minorHAnsi"/>
                <w:sz w:val="20"/>
                <w:szCs w:val="20"/>
              </w:rPr>
            </w:pPr>
            <w:r>
              <w:rPr>
                <w:rFonts w:cstheme="minorHAnsi"/>
                <w:sz w:val="20"/>
                <w:szCs w:val="20"/>
              </w:rPr>
              <w:t>Increased outcomes for PP students.</w:t>
            </w:r>
          </w:p>
          <w:p>
            <w:pPr>
              <w:autoSpaceDE w:val="0"/>
              <w:autoSpaceDN w:val="0"/>
              <w:adjustRightInd w:val="0"/>
              <w:rPr>
                <w:rFonts w:cstheme="minorHAnsi"/>
                <w:sz w:val="20"/>
                <w:szCs w:val="20"/>
              </w:rPr>
            </w:pPr>
          </w:p>
          <w:p>
            <w:pPr>
              <w:autoSpaceDE w:val="0"/>
              <w:autoSpaceDN w:val="0"/>
              <w:adjustRightInd w:val="0"/>
              <w:rPr>
                <w:rFonts w:cstheme="minorHAnsi"/>
                <w:sz w:val="20"/>
                <w:szCs w:val="20"/>
              </w:rPr>
            </w:pPr>
          </w:p>
          <w:p>
            <w:pPr>
              <w:autoSpaceDE w:val="0"/>
              <w:autoSpaceDN w:val="0"/>
              <w:adjustRightInd w:val="0"/>
              <w:rPr>
                <w:rFonts w:cstheme="minorHAnsi"/>
                <w:sz w:val="20"/>
                <w:szCs w:val="20"/>
              </w:rPr>
            </w:pPr>
          </w:p>
          <w:p>
            <w:pPr>
              <w:autoSpaceDE w:val="0"/>
              <w:autoSpaceDN w:val="0"/>
              <w:adjustRightInd w:val="0"/>
              <w:rPr>
                <w:rFonts w:cstheme="minorHAnsi"/>
                <w:sz w:val="20"/>
                <w:szCs w:val="20"/>
              </w:rPr>
            </w:pPr>
          </w:p>
          <w:p>
            <w:pPr>
              <w:autoSpaceDE w:val="0"/>
              <w:autoSpaceDN w:val="0"/>
              <w:adjustRightInd w:val="0"/>
              <w:rPr>
                <w:rFonts w:cstheme="minorHAnsi"/>
                <w:sz w:val="20"/>
                <w:szCs w:val="20"/>
              </w:rPr>
            </w:pPr>
            <w:r>
              <w:rPr>
                <w:rFonts w:cstheme="minorHAnsi"/>
                <w:sz w:val="20"/>
                <w:szCs w:val="20"/>
              </w:rPr>
              <w:t>Students who have been given a mentor show more progress than students who have not been targeted (MTu)</w:t>
            </w:r>
          </w:p>
          <w:p>
            <w:pPr>
              <w:autoSpaceDE w:val="0"/>
              <w:autoSpaceDN w:val="0"/>
              <w:adjustRightInd w:val="0"/>
              <w:rPr>
                <w:rFonts w:cstheme="minorHAnsi"/>
                <w:sz w:val="20"/>
                <w:szCs w:val="20"/>
              </w:rPr>
            </w:pPr>
            <w:r>
              <w:rPr>
                <w:rFonts w:cstheme="minorHAnsi"/>
                <w:sz w:val="20"/>
                <w:szCs w:val="20"/>
              </w:rPr>
              <w:t>Key subject areas have additional curriculum time to suit the needs of the individual. (MT/RL/CF/SB)</w:t>
            </w:r>
          </w:p>
          <w:p>
            <w:pPr>
              <w:rPr>
                <w:rFonts w:cstheme="minorHAnsi"/>
                <w:sz w:val="20"/>
                <w:szCs w:val="20"/>
              </w:rPr>
            </w:pPr>
            <w:r>
              <w:rPr>
                <w:rFonts w:cstheme="minorHAnsi"/>
                <w:sz w:val="20"/>
                <w:szCs w:val="20"/>
              </w:rPr>
              <w:t>All students will have access to resources and key staff during the examination series.  (MT/HoF)</w:t>
            </w:r>
          </w:p>
          <w:p>
            <w:pPr>
              <w:rPr>
                <w:rFonts w:cstheme="minorHAnsi"/>
                <w:sz w:val="20"/>
                <w:szCs w:val="20"/>
              </w:rPr>
            </w:pPr>
            <w:r>
              <w:rPr>
                <w:rFonts w:cstheme="minorHAnsi"/>
                <w:sz w:val="20"/>
                <w:szCs w:val="20"/>
              </w:rPr>
              <w:t>Reduce PP gap of KHS compared to National KS4 to less than 0.6</w:t>
            </w:r>
          </w:p>
          <w:p>
            <w:pPr>
              <w:rPr>
                <w:lang w:eastAsia="en-GB"/>
              </w:rPr>
            </w:pPr>
          </w:p>
        </w:tc>
        <w:tc>
          <w:tcPr>
            <w:tcW w:w="2977" w:type="dxa"/>
          </w:tcPr>
          <w:p>
            <w:pPr>
              <w:rPr>
                <w:rFonts w:cstheme="minorHAnsi"/>
                <w:sz w:val="20"/>
                <w:szCs w:val="20"/>
              </w:rPr>
            </w:pPr>
          </w:p>
          <w:p>
            <w:pPr>
              <w:contextualSpacing/>
              <w:rPr>
                <w:rFonts w:eastAsia="Times New Roman" w:cstheme="minorHAnsi"/>
              </w:rPr>
            </w:pPr>
            <w:r>
              <w:rPr>
                <w:rFonts w:eastAsia="Times New Roman" w:cstheme="minorHAnsi"/>
              </w:rPr>
              <w:t>KHS Y11 2020-2021 disadvantaged boys have improved compared to previous year (+5.14)</w:t>
            </w:r>
          </w:p>
          <w:p>
            <w:pPr>
              <w:contextualSpacing/>
              <w:rPr>
                <w:rFonts w:eastAsia="Times New Roman" w:cstheme="minorHAnsi"/>
              </w:rPr>
            </w:pPr>
          </w:p>
          <w:p>
            <w:pPr>
              <w:contextualSpacing/>
              <w:rPr>
                <w:rFonts w:eastAsia="Times New Roman" w:cstheme="minorHAnsi"/>
              </w:rPr>
            </w:pPr>
            <w:r>
              <w:rPr>
                <w:rFonts w:eastAsia="Times New Roman" w:cstheme="minorHAnsi"/>
              </w:rPr>
              <w:lastRenderedPageBreak/>
              <w:t>KHS Y11 2020-2021 attainment of low ability disadvantaged students have increased (13.1)</w:t>
            </w:r>
          </w:p>
          <w:p>
            <w:pPr>
              <w:rPr>
                <w:rFonts w:cstheme="minorHAnsi"/>
                <w:sz w:val="20"/>
                <w:szCs w:val="20"/>
              </w:rPr>
            </w:pPr>
          </w:p>
          <w:p>
            <w:pPr>
              <w:contextualSpacing/>
              <w:rPr>
                <w:rFonts w:eastAsia="Times New Roman" w:cstheme="minorHAnsi"/>
              </w:rPr>
            </w:pPr>
            <w:r>
              <w:rPr>
                <w:rFonts w:eastAsia="Times New Roman" w:cstheme="minorHAnsi"/>
              </w:rPr>
              <w:t>KHS 2020-2021 All non-disadvantaged students have higher attainment than the previous year(+3.58)</w:t>
            </w:r>
          </w:p>
          <w:p>
            <w:pPr>
              <w:rPr>
                <w:rFonts w:cstheme="minorHAnsi"/>
                <w:sz w:val="20"/>
                <w:szCs w:val="20"/>
              </w:rPr>
            </w:pPr>
          </w:p>
          <w:p>
            <w:pPr>
              <w:rPr>
                <w:rFonts w:cstheme="minorHAnsi"/>
                <w:sz w:val="20"/>
                <w:szCs w:val="20"/>
              </w:rPr>
            </w:pPr>
            <w:r>
              <w:rPr>
                <w:rFonts w:cstheme="minorHAnsi"/>
                <w:sz w:val="20"/>
                <w:szCs w:val="20"/>
              </w:rPr>
              <w:t>(See Governors’ report September 21)</w:t>
            </w:r>
          </w:p>
          <w:p>
            <w:pPr>
              <w:rPr>
                <w:rFonts w:cstheme="minorHAnsi"/>
                <w:sz w:val="20"/>
                <w:szCs w:val="20"/>
              </w:rPr>
            </w:pPr>
          </w:p>
          <w:p>
            <w:pPr>
              <w:rPr>
                <w:rFonts w:cstheme="minorHAnsi"/>
                <w:sz w:val="20"/>
                <w:szCs w:val="20"/>
              </w:rPr>
            </w:pPr>
          </w:p>
          <w:p>
            <w:pPr>
              <w:rPr>
                <w:rFonts w:cstheme="minorHAnsi"/>
                <w:sz w:val="20"/>
                <w:szCs w:val="20"/>
              </w:rPr>
            </w:pPr>
          </w:p>
          <w:p>
            <w:pPr>
              <w:rPr>
                <w:rFonts w:cstheme="minorHAnsi"/>
                <w:sz w:val="20"/>
                <w:szCs w:val="20"/>
              </w:rPr>
            </w:pPr>
          </w:p>
          <w:p>
            <w:pPr>
              <w:rPr>
                <w:rFonts w:cstheme="minorHAnsi"/>
                <w:sz w:val="20"/>
                <w:szCs w:val="20"/>
              </w:rPr>
            </w:pPr>
          </w:p>
          <w:p>
            <w:pPr>
              <w:rPr>
                <w:rFonts w:cstheme="minorHAnsi"/>
                <w:sz w:val="20"/>
                <w:szCs w:val="20"/>
              </w:rPr>
            </w:pPr>
          </w:p>
          <w:p>
            <w:pPr>
              <w:rPr>
                <w:rFonts w:cstheme="minorHAnsi"/>
                <w:sz w:val="20"/>
                <w:szCs w:val="20"/>
              </w:rPr>
            </w:pPr>
          </w:p>
          <w:p>
            <w:pPr>
              <w:rPr>
                <w:rFonts w:cstheme="minorHAnsi"/>
                <w:sz w:val="20"/>
                <w:szCs w:val="20"/>
              </w:rPr>
            </w:pPr>
          </w:p>
          <w:p>
            <w:pPr>
              <w:rPr>
                <w:rFonts w:cstheme="minorHAnsi"/>
                <w:sz w:val="20"/>
                <w:szCs w:val="20"/>
              </w:rPr>
            </w:pPr>
          </w:p>
          <w:p>
            <w:pPr>
              <w:rPr>
                <w:rFonts w:cstheme="minorHAnsi"/>
                <w:sz w:val="20"/>
                <w:szCs w:val="20"/>
              </w:rPr>
            </w:pPr>
          </w:p>
          <w:p>
            <w:pPr>
              <w:rPr>
                <w:rFonts w:cstheme="minorHAnsi"/>
                <w:sz w:val="20"/>
                <w:szCs w:val="20"/>
              </w:rPr>
            </w:pPr>
          </w:p>
          <w:p>
            <w:pPr>
              <w:rPr>
                <w:rFonts w:cstheme="minorHAnsi"/>
                <w:sz w:val="20"/>
                <w:szCs w:val="20"/>
              </w:rPr>
            </w:pPr>
          </w:p>
          <w:p>
            <w:pPr>
              <w:rPr>
                <w:rFonts w:cstheme="minorHAnsi"/>
                <w:sz w:val="20"/>
                <w:szCs w:val="20"/>
              </w:rPr>
            </w:pPr>
          </w:p>
          <w:p>
            <w:pPr>
              <w:rPr>
                <w:rFonts w:cstheme="minorHAnsi"/>
                <w:sz w:val="20"/>
                <w:szCs w:val="20"/>
              </w:rPr>
            </w:pPr>
          </w:p>
          <w:p>
            <w:pPr>
              <w:rPr>
                <w:rFonts w:cstheme="minorHAnsi"/>
                <w:sz w:val="20"/>
                <w:szCs w:val="20"/>
              </w:rPr>
            </w:pPr>
          </w:p>
          <w:p>
            <w:pPr>
              <w:rPr>
                <w:rFonts w:cstheme="minorHAnsi"/>
                <w:sz w:val="20"/>
                <w:szCs w:val="20"/>
              </w:rPr>
            </w:pPr>
          </w:p>
        </w:tc>
        <w:tc>
          <w:tcPr>
            <w:tcW w:w="2977" w:type="dxa"/>
            <w:tcBorders>
              <w:right w:val="single" w:sz="4" w:space="0" w:color="000000"/>
            </w:tcBorders>
            <w:shd w:val="clear" w:color="auto" w:fill="auto"/>
          </w:tcPr>
          <w:p>
            <w:pPr>
              <w:pStyle w:val="TableRowCentered"/>
              <w:ind w:left="0"/>
              <w:jc w:val="left"/>
              <w:rPr>
                <w:b/>
                <w:szCs w:val="24"/>
              </w:rPr>
            </w:pPr>
          </w:p>
        </w:tc>
        <w:tc>
          <w:tcPr>
            <w:tcW w:w="2977" w:type="dxa"/>
            <w:tcBorders>
              <w:right w:val="single" w:sz="4" w:space="0" w:color="000000"/>
            </w:tcBorders>
            <w:shd w:val="clear" w:color="auto" w:fill="auto"/>
          </w:tcPr>
          <w:p>
            <w:pPr>
              <w:rPr>
                <w:rFonts w:cstheme="minorHAnsi"/>
                <w:sz w:val="20"/>
                <w:szCs w:val="20"/>
              </w:rPr>
            </w:pPr>
            <w:r>
              <w:rPr>
                <w:rFonts w:cstheme="minorHAnsi"/>
                <w:sz w:val="20"/>
                <w:szCs w:val="20"/>
              </w:rPr>
              <w:t xml:space="preserve">Proportion of AHT time </w:t>
            </w:r>
          </w:p>
          <w:p>
            <w:pPr>
              <w:rPr>
                <w:rFonts w:cstheme="minorHAnsi"/>
                <w:sz w:val="20"/>
                <w:szCs w:val="20"/>
              </w:rPr>
            </w:pPr>
          </w:p>
          <w:p>
            <w:pPr>
              <w:rPr>
                <w:rFonts w:cstheme="minorHAnsi"/>
                <w:sz w:val="20"/>
                <w:szCs w:val="20"/>
              </w:rPr>
            </w:pPr>
            <w:r>
              <w:rPr>
                <w:rFonts w:cstheme="minorHAnsi"/>
                <w:sz w:val="20"/>
                <w:szCs w:val="20"/>
              </w:rPr>
              <w:t xml:space="preserve">Budget for intervention lessons </w:t>
            </w:r>
          </w:p>
          <w:p>
            <w:pPr>
              <w:rPr>
                <w:rFonts w:cstheme="minorHAnsi"/>
                <w:sz w:val="20"/>
                <w:szCs w:val="20"/>
              </w:rPr>
            </w:pPr>
            <w:r>
              <w:rPr>
                <w:rFonts w:cstheme="minorHAnsi"/>
                <w:sz w:val="20"/>
                <w:szCs w:val="20"/>
              </w:rPr>
              <w:t>£4,200</w:t>
            </w:r>
          </w:p>
          <w:p>
            <w:pPr>
              <w:rPr>
                <w:rFonts w:cstheme="minorHAnsi"/>
                <w:sz w:val="20"/>
                <w:szCs w:val="20"/>
              </w:rPr>
            </w:pPr>
          </w:p>
          <w:p>
            <w:pPr>
              <w:rPr>
                <w:rFonts w:cstheme="minorHAnsi"/>
                <w:sz w:val="20"/>
                <w:szCs w:val="20"/>
              </w:rPr>
            </w:pPr>
          </w:p>
          <w:p>
            <w:pPr>
              <w:rPr>
                <w:rFonts w:cstheme="minorHAnsi"/>
                <w:sz w:val="20"/>
                <w:szCs w:val="20"/>
              </w:rPr>
            </w:pPr>
            <w:r>
              <w:rPr>
                <w:rFonts w:cstheme="minorHAnsi"/>
                <w:sz w:val="20"/>
                <w:szCs w:val="20"/>
              </w:rPr>
              <w:t xml:space="preserve">Equipment subsidies </w:t>
            </w:r>
          </w:p>
          <w:p>
            <w:pPr>
              <w:rPr>
                <w:rFonts w:cstheme="minorHAnsi"/>
                <w:sz w:val="20"/>
                <w:szCs w:val="20"/>
              </w:rPr>
            </w:pPr>
            <w:r>
              <w:rPr>
                <w:rFonts w:cstheme="minorHAnsi"/>
                <w:sz w:val="20"/>
                <w:szCs w:val="20"/>
              </w:rPr>
              <w:t>£300</w:t>
            </w:r>
          </w:p>
          <w:p>
            <w:pPr>
              <w:rPr>
                <w:rFonts w:cstheme="minorHAnsi"/>
                <w:sz w:val="20"/>
                <w:szCs w:val="20"/>
              </w:rPr>
            </w:pPr>
            <w:r>
              <w:rPr>
                <w:rFonts w:cstheme="minorHAnsi"/>
                <w:sz w:val="20"/>
                <w:szCs w:val="20"/>
              </w:rPr>
              <w:lastRenderedPageBreak/>
              <w:t xml:space="preserve">Uniform subsidies </w:t>
            </w:r>
          </w:p>
          <w:p>
            <w:pPr>
              <w:rPr>
                <w:rFonts w:cstheme="minorHAnsi"/>
                <w:sz w:val="20"/>
                <w:szCs w:val="20"/>
              </w:rPr>
            </w:pPr>
            <w:r>
              <w:rPr>
                <w:rFonts w:cstheme="minorHAnsi"/>
                <w:sz w:val="20"/>
                <w:szCs w:val="20"/>
              </w:rPr>
              <w:t>£500</w:t>
            </w:r>
          </w:p>
          <w:p>
            <w:pPr>
              <w:rPr>
                <w:rFonts w:cstheme="minorHAnsi"/>
                <w:sz w:val="20"/>
                <w:szCs w:val="20"/>
              </w:rPr>
            </w:pPr>
          </w:p>
          <w:p>
            <w:pPr>
              <w:rPr>
                <w:rFonts w:cstheme="minorHAnsi"/>
                <w:sz w:val="20"/>
                <w:szCs w:val="20"/>
              </w:rPr>
            </w:pPr>
            <w:r>
              <w:rPr>
                <w:rFonts w:cstheme="minorHAnsi"/>
                <w:sz w:val="20"/>
                <w:szCs w:val="20"/>
              </w:rPr>
              <w:t>Revision guides £3,000</w:t>
            </w:r>
          </w:p>
          <w:p>
            <w:pPr>
              <w:pStyle w:val="TableRowCentered"/>
              <w:ind w:left="0"/>
              <w:jc w:val="left"/>
              <w:rPr>
                <w:b/>
                <w:szCs w:val="24"/>
              </w:rPr>
            </w:pPr>
          </w:p>
        </w:tc>
      </w:tr>
      <w:tr>
        <w:trPr>
          <w:trHeight w:val="58"/>
        </w:trPr>
        <w:tc>
          <w:tcPr>
            <w:tcW w:w="4254" w:type="dxa"/>
            <w:tcBorders>
              <w:right w:val="single" w:sz="4" w:space="0" w:color="000000"/>
            </w:tcBorders>
            <w:shd w:val="clear" w:color="auto" w:fill="auto"/>
          </w:tcPr>
          <w:p>
            <w:pPr>
              <w:pStyle w:val="TableRowCentered"/>
              <w:ind w:left="0"/>
              <w:jc w:val="left"/>
              <w:rPr>
                <w:b/>
                <w:szCs w:val="24"/>
              </w:rPr>
            </w:pPr>
          </w:p>
        </w:tc>
        <w:tc>
          <w:tcPr>
            <w:tcW w:w="1700" w:type="dxa"/>
            <w:tcBorders>
              <w:right w:val="single" w:sz="4" w:space="0" w:color="000000"/>
            </w:tcBorders>
            <w:shd w:val="clear" w:color="auto" w:fill="auto"/>
          </w:tcPr>
          <w:p>
            <w:pPr>
              <w:pStyle w:val="TableRowCentered"/>
              <w:ind w:left="0"/>
              <w:jc w:val="left"/>
              <w:rPr>
                <w:b/>
                <w:szCs w:val="24"/>
              </w:rPr>
            </w:pPr>
          </w:p>
        </w:tc>
        <w:tc>
          <w:tcPr>
            <w:tcW w:w="2977" w:type="dxa"/>
            <w:tcBorders>
              <w:right w:val="single" w:sz="4" w:space="0" w:color="000000"/>
            </w:tcBorders>
            <w:shd w:val="clear" w:color="auto" w:fill="auto"/>
          </w:tcPr>
          <w:p>
            <w:pPr>
              <w:pStyle w:val="TableRowCentered"/>
              <w:ind w:left="0"/>
              <w:jc w:val="left"/>
              <w:rPr>
                <w:b/>
                <w:szCs w:val="24"/>
              </w:rPr>
            </w:pPr>
          </w:p>
        </w:tc>
        <w:tc>
          <w:tcPr>
            <w:tcW w:w="2977" w:type="dxa"/>
            <w:tcBorders>
              <w:right w:val="single" w:sz="4" w:space="0" w:color="000000"/>
            </w:tcBorders>
            <w:shd w:val="clear" w:color="auto" w:fill="auto"/>
          </w:tcPr>
          <w:p>
            <w:pPr>
              <w:pStyle w:val="TableRowCentered"/>
              <w:ind w:left="0"/>
              <w:jc w:val="left"/>
              <w:rPr>
                <w:b/>
                <w:szCs w:val="24"/>
              </w:rPr>
            </w:pPr>
          </w:p>
        </w:tc>
        <w:tc>
          <w:tcPr>
            <w:tcW w:w="2977" w:type="dxa"/>
            <w:tcBorders>
              <w:right w:val="single" w:sz="4" w:space="0" w:color="000000"/>
            </w:tcBorders>
            <w:shd w:val="clear" w:color="auto" w:fill="auto"/>
          </w:tcPr>
          <w:p>
            <w:pPr>
              <w:pStyle w:val="TableRowCentered"/>
              <w:ind w:left="0"/>
              <w:jc w:val="left"/>
              <w:rPr>
                <w:b/>
                <w:szCs w:val="24"/>
              </w:rPr>
            </w:pPr>
          </w:p>
        </w:tc>
      </w:tr>
      <w:tr>
        <w:trPr>
          <w:trHeight w:val="58"/>
        </w:trPr>
        <w:tc>
          <w:tcPr>
            <w:tcW w:w="4254" w:type="dxa"/>
            <w:tcBorders>
              <w:right w:val="single" w:sz="4" w:space="0" w:color="000000"/>
            </w:tcBorders>
            <w:shd w:val="clear" w:color="auto" w:fill="auto"/>
          </w:tcPr>
          <w:p>
            <w:pPr>
              <w:pStyle w:val="TableRowCentered"/>
              <w:ind w:left="0"/>
              <w:jc w:val="left"/>
              <w:rPr>
                <w:b/>
                <w:szCs w:val="24"/>
              </w:rPr>
            </w:pPr>
          </w:p>
        </w:tc>
        <w:tc>
          <w:tcPr>
            <w:tcW w:w="1700" w:type="dxa"/>
            <w:tcBorders>
              <w:right w:val="single" w:sz="4" w:space="0" w:color="000000"/>
            </w:tcBorders>
            <w:shd w:val="clear" w:color="auto" w:fill="auto"/>
          </w:tcPr>
          <w:p>
            <w:pPr>
              <w:pStyle w:val="TableRowCentered"/>
              <w:ind w:left="0"/>
              <w:jc w:val="left"/>
              <w:rPr>
                <w:b/>
                <w:szCs w:val="24"/>
              </w:rPr>
            </w:pPr>
          </w:p>
        </w:tc>
        <w:tc>
          <w:tcPr>
            <w:tcW w:w="2977" w:type="dxa"/>
            <w:tcBorders>
              <w:right w:val="single" w:sz="4" w:space="0" w:color="000000"/>
            </w:tcBorders>
            <w:shd w:val="clear" w:color="auto" w:fill="auto"/>
          </w:tcPr>
          <w:p>
            <w:pPr>
              <w:pStyle w:val="TableRowCentered"/>
              <w:ind w:left="0"/>
              <w:jc w:val="left"/>
              <w:rPr>
                <w:b/>
                <w:szCs w:val="24"/>
              </w:rPr>
            </w:pPr>
          </w:p>
        </w:tc>
        <w:tc>
          <w:tcPr>
            <w:tcW w:w="2977" w:type="dxa"/>
            <w:tcBorders>
              <w:right w:val="single" w:sz="4" w:space="0" w:color="000000"/>
            </w:tcBorders>
            <w:shd w:val="clear" w:color="auto" w:fill="auto"/>
          </w:tcPr>
          <w:p>
            <w:pPr>
              <w:pStyle w:val="TableRowCentered"/>
              <w:ind w:left="0"/>
              <w:jc w:val="left"/>
              <w:rPr>
                <w:b/>
                <w:szCs w:val="24"/>
              </w:rPr>
            </w:pPr>
          </w:p>
        </w:tc>
        <w:tc>
          <w:tcPr>
            <w:tcW w:w="2977" w:type="dxa"/>
            <w:tcBorders>
              <w:right w:val="single" w:sz="4" w:space="0" w:color="000000"/>
            </w:tcBorders>
            <w:shd w:val="clear" w:color="auto" w:fill="auto"/>
          </w:tcPr>
          <w:p>
            <w:pPr>
              <w:pStyle w:val="TableRowCentered"/>
              <w:ind w:left="0"/>
              <w:jc w:val="left"/>
              <w:rPr>
                <w:b/>
                <w:szCs w:val="24"/>
              </w:rPr>
            </w:pPr>
          </w:p>
        </w:tc>
      </w:tr>
      <w:tr>
        <w:trPr>
          <w:trHeight w:val="58"/>
        </w:trPr>
        <w:tc>
          <w:tcPr>
            <w:tcW w:w="4254" w:type="dxa"/>
            <w:tcBorders>
              <w:right w:val="single" w:sz="4" w:space="0" w:color="000000"/>
            </w:tcBorders>
            <w:shd w:val="clear" w:color="auto" w:fill="auto"/>
          </w:tcPr>
          <w:p>
            <w:pPr>
              <w:pStyle w:val="TableRowCentered"/>
              <w:ind w:left="0"/>
              <w:jc w:val="left"/>
              <w:rPr>
                <w:b/>
                <w:szCs w:val="24"/>
              </w:rPr>
            </w:pPr>
          </w:p>
        </w:tc>
        <w:tc>
          <w:tcPr>
            <w:tcW w:w="1700" w:type="dxa"/>
            <w:tcBorders>
              <w:right w:val="single" w:sz="4" w:space="0" w:color="000000"/>
            </w:tcBorders>
            <w:shd w:val="clear" w:color="auto" w:fill="auto"/>
          </w:tcPr>
          <w:p>
            <w:pPr>
              <w:pStyle w:val="TableRowCentered"/>
              <w:ind w:left="0"/>
              <w:jc w:val="left"/>
              <w:rPr>
                <w:b/>
                <w:szCs w:val="24"/>
              </w:rPr>
            </w:pPr>
          </w:p>
        </w:tc>
        <w:tc>
          <w:tcPr>
            <w:tcW w:w="2977" w:type="dxa"/>
            <w:tcBorders>
              <w:right w:val="single" w:sz="4" w:space="0" w:color="000000"/>
            </w:tcBorders>
            <w:shd w:val="clear" w:color="auto" w:fill="auto"/>
          </w:tcPr>
          <w:p>
            <w:pPr>
              <w:pStyle w:val="TableRowCentered"/>
              <w:ind w:left="0"/>
              <w:jc w:val="left"/>
              <w:rPr>
                <w:b/>
                <w:szCs w:val="24"/>
              </w:rPr>
            </w:pPr>
          </w:p>
        </w:tc>
        <w:tc>
          <w:tcPr>
            <w:tcW w:w="2977" w:type="dxa"/>
            <w:tcBorders>
              <w:right w:val="single" w:sz="4" w:space="0" w:color="000000"/>
            </w:tcBorders>
            <w:shd w:val="clear" w:color="auto" w:fill="auto"/>
          </w:tcPr>
          <w:p>
            <w:pPr>
              <w:pStyle w:val="TableRowCentered"/>
              <w:ind w:left="0"/>
              <w:jc w:val="left"/>
              <w:rPr>
                <w:b/>
                <w:szCs w:val="24"/>
              </w:rPr>
            </w:pPr>
          </w:p>
        </w:tc>
        <w:tc>
          <w:tcPr>
            <w:tcW w:w="2977" w:type="dxa"/>
            <w:tcBorders>
              <w:right w:val="single" w:sz="4" w:space="0" w:color="000000"/>
            </w:tcBorders>
            <w:shd w:val="clear" w:color="auto" w:fill="auto"/>
          </w:tcPr>
          <w:p>
            <w:pPr>
              <w:pStyle w:val="TableRowCentered"/>
              <w:ind w:left="0"/>
              <w:jc w:val="left"/>
              <w:rPr>
                <w:b/>
                <w:szCs w:val="24"/>
              </w:rPr>
            </w:pPr>
          </w:p>
        </w:tc>
      </w:tr>
      <w:tr>
        <w:trPr>
          <w:trHeight w:val="58"/>
        </w:trPr>
        <w:tc>
          <w:tcPr>
            <w:tcW w:w="14885" w:type="dxa"/>
            <w:gridSpan w:val="5"/>
            <w:tcBorders>
              <w:right w:val="single" w:sz="4" w:space="0" w:color="000000"/>
            </w:tcBorders>
            <w:shd w:val="clear" w:color="auto" w:fill="BDD6EE" w:themeFill="accent1" w:themeFillTint="66"/>
          </w:tcPr>
          <w:p>
            <w:pPr>
              <w:pStyle w:val="TableRowCentered"/>
              <w:ind w:left="0"/>
              <w:jc w:val="left"/>
              <w:rPr>
                <w:b/>
                <w:szCs w:val="24"/>
              </w:rPr>
            </w:pPr>
            <w:r>
              <w:rPr>
                <w:b/>
                <w:szCs w:val="24"/>
              </w:rPr>
              <w:t>Targeted Support</w:t>
            </w:r>
          </w:p>
        </w:tc>
      </w:tr>
      <w:tr>
        <w:trPr>
          <w:trHeight w:val="58"/>
        </w:trPr>
        <w:tc>
          <w:tcPr>
            <w:tcW w:w="4254" w:type="dxa"/>
            <w:tcBorders>
              <w:right w:val="single" w:sz="4" w:space="0" w:color="000000"/>
            </w:tcBorders>
            <w:shd w:val="clear" w:color="auto" w:fill="auto"/>
          </w:tcPr>
          <w:p>
            <w:pPr>
              <w:pStyle w:val="TableRowCentered"/>
              <w:ind w:left="0"/>
              <w:jc w:val="left"/>
              <w:rPr>
                <w:b/>
                <w:szCs w:val="24"/>
              </w:rPr>
            </w:pPr>
            <w:r>
              <w:rPr>
                <w:b/>
                <w:szCs w:val="24"/>
              </w:rPr>
              <w:t xml:space="preserve">Action </w:t>
            </w:r>
          </w:p>
        </w:tc>
        <w:tc>
          <w:tcPr>
            <w:tcW w:w="1700" w:type="dxa"/>
            <w:tcBorders>
              <w:right w:val="single" w:sz="4" w:space="0" w:color="000000"/>
            </w:tcBorders>
            <w:shd w:val="clear" w:color="auto" w:fill="auto"/>
          </w:tcPr>
          <w:p>
            <w:pPr>
              <w:pStyle w:val="TableRowCentered"/>
              <w:ind w:left="0"/>
              <w:jc w:val="left"/>
              <w:rPr>
                <w:b/>
                <w:szCs w:val="24"/>
              </w:rPr>
            </w:pPr>
            <w:r>
              <w:rPr>
                <w:b/>
                <w:szCs w:val="24"/>
              </w:rPr>
              <w:t>Intended Outcome</w:t>
            </w:r>
          </w:p>
        </w:tc>
        <w:tc>
          <w:tcPr>
            <w:tcW w:w="2977" w:type="dxa"/>
            <w:tcBorders>
              <w:right w:val="single" w:sz="4" w:space="0" w:color="000000"/>
            </w:tcBorders>
            <w:shd w:val="clear" w:color="auto" w:fill="auto"/>
          </w:tcPr>
          <w:p>
            <w:pPr>
              <w:pStyle w:val="TableRowCentered"/>
              <w:ind w:left="0"/>
              <w:jc w:val="left"/>
              <w:rPr>
                <w:b/>
                <w:szCs w:val="24"/>
              </w:rPr>
            </w:pPr>
            <w:r>
              <w:rPr>
                <w:b/>
                <w:szCs w:val="24"/>
              </w:rPr>
              <w:t>Estimated Impact</w:t>
            </w:r>
          </w:p>
        </w:tc>
        <w:tc>
          <w:tcPr>
            <w:tcW w:w="2977" w:type="dxa"/>
            <w:tcBorders>
              <w:right w:val="single" w:sz="4" w:space="0" w:color="000000"/>
            </w:tcBorders>
            <w:shd w:val="clear" w:color="auto" w:fill="auto"/>
          </w:tcPr>
          <w:p>
            <w:pPr>
              <w:pStyle w:val="TableRowCentered"/>
              <w:ind w:left="0"/>
              <w:jc w:val="left"/>
              <w:rPr>
                <w:b/>
                <w:szCs w:val="24"/>
              </w:rPr>
            </w:pPr>
            <w:r>
              <w:rPr>
                <w:b/>
                <w:szCs w:val="24"/>
              </w:rPr>
              <w:t>Lessons Learned</w:t>
            </w:r>
          </w:p>
        </w:tc>
        <w:tc>
          <w:tcPr>
            <w:tcW w:w="2977" w:type="dxa"/>
            <w:tcBorders>
              <w:right w:val="single" w:sz="4" w:space="0" w:color="000000"/>
            </w:tcBorders>
            <w:shd w:val="clear" w:color="auto" w:fill="auto"/>
          </w:tcPr>
          <w:p>
            <w:pPr>
              <w:pStyle w:val="TableRowCentered"/>
              <w:ind w:left="0"/>
              <w:jc w:val="left"/>
              <w:rPr>
                <w:b/>
                <w:szCs w:val="24"/>
              </w:rPr>
            </w:pPr>
            <w:r>
              <w:rPr>
                <w:b/>
                <w:szCs w:val="24"/>
              </w:rPr>
              <w:t>Cost</w:t>
            </w:r>
          </w:p>
        </w:tc>
      </w:tr>
      <w:tr>
        <w:trPr>
          <w:trHeight w:val="58"/>
        </w:trPr>
        <w:tc>
          <w:tcPr>
            <w:tcW w:w="4254" w:type="dxa"/>
            <w:tcBorders>
              <w:right w:val="single" w:sz="4" w:space="0" w:color="000000"/>
            </w:tcBorders>
            <w:shd w:val="clear" w:color="auto" w:fill="auto"/>
          </w:tcPr>
          <w:p>
            <w:pPr>
              <w:numPr>
                <w:ilvl w:val="0"/>
                <w:numId w:val="16"/>
              </w:numPr>
              <w:contextualSpacing/>
              <w:rPr>
                <w:rFonts w:eastAsia="Tahoma" w:cstheme="minorHAnsi"/>
                <w:sz w:val="20"/>
                <w:szCs w:val="20"/>
              </w:rPr>
            </w:pPr>
            <w:r>
              <w:rPr>
                <w:rFonts w:eastAsia="Tahoma" w:cstheme="minorHAnsi"/>
                <w:sz w:val="20"/>
                <w:szCs w:val="20"/>
              </w:rPr>
              <w:t>Identify students with low level literacy skills in Year 7 (initially) and KS3, apply intervention for the students (SCro Sept ’20)</w:t>
            </w:r>
          </w:p>
          <w:p>
            <w:pPr>
              <w:numPr>
                <w:ilvl w:val="0"/>
                <w:numId w:val="16"/>
              </w:numPr>
              <w:spacing w:line="216" w:lineRule="auto"/>
              <w:contextualSpacing/>
              <w:rPr>
                <w:rFonts w:cstheme="minorHAnsi"/>
                <w:sz w:val="20"/>
                <w:szCs w:val="20"/>
              </w:rPr>
            </w:pPr>
            <w:r>
              <w:rPr>
                <w:rFonts w:cstheme="minorHAnsi"/>
                <w:sz w:val="20"/>
                <w:szCs w:val="20"/>
              </w:rPr>
              <w:t>Use of powerbi  and numeracy ages to assess the impact of the success@arithmetic intervention (May 21)</w:t>
            </w:r>
          </w:p>
          <w:p>
            <w:pPr>
              <w:rPr>
                <w:b/>
                <w:szCs w:val="24"/>
              </w:rPr>
            </w:pPr>
          </w:p>
        </w:tc>
        <w:tc>
          <w:tcPr>
            <w:tcW w:w="1700" w:type="dxa"/>
            <w:tcBorders>
              <w:right w:val="single" w:sz="4" w:space="0" w:color="000000"/>
            </w:tcBorders>
            <w:shd w:val="clear" w:color="auto" w:fill="auto"/>
          </w:tcPr>
          <w:p>
            <w:pPr>
              <w:rPr>
                <w:rFonts w:cs="Arial"/>
                <w:b/>
                <w:color w:val="000000" w:themeColor="text1"/>
                <w:sz w:val="20"/>
                <w:szCs w:val="20"/>
              </w:rPr>
            </w:pPr>
            <w:r>
              <w:rPr>
                <w:rFonts w:cs="Arial"/>
                <w:b/>
                <w:color w:val="000000" w:themeColor="text1"/>
                <w:sz w:val="20"/>
                <w:szCs w:val="20"/>
              </w:rPr>
              <w:t>Improve literacy and numeracy skills of students who are disadvantaged or have SEND focussing on the confidence recall and extended writing</w:t>
            </w:r>
          </w:p>
          <w:p>
            <w:pPr>
              <w:pStyle w:val="TableRowCentered"/>
              <w:ind w:left="0"/>
              <w:jc w:val="left"/>
              <w:rPr>
                <w:b/>
                <w:szCs w:val="24"/>
              </w:rPr>
            </w:pPr>
          </w:p>
          <w:p>
            <w:pPr>
              <w:rPr>
                <w:rFonts w:cstheme="minorHAnsi"/>
                <w:sz w:val="20"/>
                <w:szCs w:val="20"/>
              </w:rPr>
            </w:pPr>
            <w:r>
              <w:rPr>
                <w:rFonts w:cstheme="minorHAnsi"/>
                <w:sz w:val="20"/>
                <w:szCs w:val="20"/>
              </w:rPr>
              <w:t>Outcomes improved for KS3 especially PP students who have low non-verbal and verbal scores in the CATS tests (MT)</w:t>
            </w:r>
          </w:p>
          <w:p>
            <w:pPr>
              <w:rPr>
                <w:lang w:eastAsia="en-GB"/>
              </w:rPr>
            </w:pPr>
          </w:p>
        </w:tc>
        <w:tc>
          <w:tcPr>
            <w:tcW w:w="2977" w:type="dxa"/>
            <w:tcBorders>
              <w:right w:val="single" w:sz="4" w:space="0" w:color="000000"/>
            </w:tcBorders>
            <w:shd w:val="clear" w:color="auto" w:fill="auto"/>
          </w:tcPr>
          <w:p>
            <w:pPr>
              <w:pStyle w:val="TableRowCentered"/>
              <w:ind w:left="0"/>
              <w:jc w:val="left"/>
              <w:rPr>
                <w:sz w:val="20"/>
              </w:rPr>
            </w:pPr>
            <w:r>
              <w:rPr>
                <w:sz w:val="20"/>
              </w:rPr>
              <w:t>SCR/LWA progress</w:t>
            </w:r>
          </w:p>
          <w:p>
            <w:pPr>
              <w:rPr>
                <w:lang w:eastAsia="en-GB"/>
              </w:rPr>
            </w:pPr>
          </w:p>
          <w:p>
            <w:pPr>
              <w:rPr>
                <w:lang w:eastAsia="en-GB"/>
              </w:rPr>
            </w:pPr>
            <w:r>
              <w:rPr>
                <w:lang w:eastAsia="en-GB"/>
              </w:rPr>
              <w:t>Year 7 students who received targeted intervention for reading increased by 2yrs 1 month in their reading</w:t>
            </w:r>
          </w:p>
          <w:p>
            <w:pPr>
              <w:rPr>
                <w:lang w:eastAsia="en-GB"/>
              </w:rPr>
            </w:pPr>
          </w:p>
          <w:p>
            <w:pPr>
              <w:rPr>
                <w:lang w:eastAsia="en-GB"/>
              </w:rPr>
            </w:pPr>
          </w:p>
          <w:p>
            <w:pPr>
              <w:rPr>
                <w:lang w:eastAsia="en-GB"/>
              </w:rPr>
            </w:pPr>
          </w:p>
          <w:p>
            <w:pPr>
              <w:rPr>
                <w:lang w:eastAsia="en-GB"/>
              </w:rPr>
            </w:pPr>
            <w:r>
              <w:rPr>
                <w:lang w:eastAsia="en-GB"/>
              </w:rPr>
              <w:t>Year 7 students who received targeted intervention for spelling age increased by 8 months in their reading</w:t>
            </w:r>
          </w:p>
          <w:p>
            <w:pPr>
              <w:rPr>
                <w:lang w:eastAsia="en-GB"/>
              </w:rPr>
            </w:pPr>
          </w:p>
          <w:p>
            <w:pPr>
              <w:rPr>
                <w:lang w:eastAsia="en-GB"/>
              </w:rPr>
            </w:pPr>
          </w:p>
        </w:tc>
        <w:tc>
          <w:tcPr>
            <w:tcW w:w="2977" w:type="dxa"/>
            <w:tcBorders>
              <w:right w:val="single" w:sz="4" w:space="0" w:color="000000"/>
            </w:tcBorders>
            <w:shd w:val="clear" w:color="auto" w:fill="auto"/>
          </w:tcPr>
          <w:p>
            <w:pPr>
              <w:pStyle w:val="TableRowCentered"/>
              <w:ind w:left="0"/>
              <w:jc w:val="left"/>
              <w:rPr>
                <w:rFonts w:asciiTheme="minorHAnsi" w:hAnsiTheme="minorHAnsi" w:cstheme="minorHAnsi"/>
                <w:sz w:val="20"/>
              </w:rPr>
            </w:pPr>
            <w:r>
              <w:rPr>
                <w:rFonts w:asciiTheme="minorHAnsi" w:hAnsiTheme="minorHAnsi" w:cstheme="minorHAnsi"/>
                <w:sz w:val="20"/>
              </w:rPr>
              <w:t xml:space="preserve">This proved more difficult during lockdown, but was effective as we could target these students as soon as they returned from lockdown. </w:t>
            </w:r>
          </w:p>
          <w:p>
            <w:pPr>
              <w:rPr>
                <w:lang w:eastAsia="en-GB"/>
              </w:rPr>
            </w:pPr>
            <w:r>
              <w:rPr>
                <w:lang w:eastAsia="en-GB"/>
              </w:rPr>
              <w:t>This will feed into 2021-2022 strategy</w:t>
            </w:r>
          </w:p>
        </w:tc>
        <w:tc>
          <w:tcPr>
            <w:tcW w:w="2977" w:type="dxa"/>
            <w:tcBorders>
              <w:right w:val="single" w:sz="4" w:space="0" w:color="000000"/>
            </w:tcBorders>
            <w:shd w:val="clear" w:color="auto" w:fill="auto"/>
          </w:tcPr>
          <w:p>
            <w:pPr>
              <w:pStyle w:val="TableRowCentered"/>
              <w:ind w:left="0"/>
              <w:jc w:val="left"/>
              <w:rPr>
                <w:b/>
                <w:szCs w:val="24"/>
              </w:rPr>
            </w:pPr>
          </w:p>
        </w:tc>
      </w:tr>
      <w:tr>
        <w:trPr>
          <w:trHeight w:val="58"/>
        </w:trPr>
        <w:tc>
          <w:tcPr>
            <w:tcW w:w="4254" w:type="dxa"/>
            <w:tcBorders>
              <w:right w:val="single" w:sz="4" w:space="0" w:color="000000"/>
            </w:tcBorders>
            <w:shd w:val="clear" w:color="auto" w:fill="auto"/>
          </w:tcPr>
          <w:p>
            <w:pPr>
              <w:pStyle w:val="TableRowCentered"/>
              <w:numPr>
                <w:ilvl w:val="0"/>
                <w:numId w:val="23"/>
              </w:numPr>
              <w:jc w:val="left"/>
              <w:rPr>
                <w:sz w:val="20"/>
              </w:rPr>
            </w:pPr>
            <w:r>
              <w:rPr>
                <w:sz w:val="20"/>
              </w:rPr>
              <w:lastRenderedPageBreak/>
              <w:t>My Tutor for target group of 90 Y10 PP students to support catch up. In English and maths.</w:t>
            </w:r>
          </w:p>
        </w:tc>
        <w:tc>
          <w:tcPr>
            <w:tcW w:w="1700" w:type="dxa"/>
            <w:tcBorders>
              <w:right w:val="single" w:sz="4" w:space="0" w:color="000000"/>
            </w:tcBorders>
            <w:shd w:val="clear" w:color="auto" w:fill="auto"/>
          </w:tcPr>
          <w:p>
            <w:pPr>
              <w:pStyle w:val="TableRowCentered"/>
              <w:ind w:left="0"/>
              <w:jc w:val="left"/>
              <w:rPr>
                <w:sz w:val="20"/>
              </w:rPr>
            </w:pPr>
            <w:r>
              <w:rPr>
                <w:sz w:val="20"/>
              </w:rPr>
              <w:t>Students to achieve at least a grade 4 from current position.</w:t>
            </w:r>
          </w:p>
          <w:p>
            <w:pPr>
              <w:pStyle w:val="TableRowCentered"/>
              <w:ind w:left="0"/>
              <w:jc w:val="left"/>
              <w:rPr>
                <w:sz w:val="20"/>
              </w:rPr>
            </w:pPr>
            <w:r>
              <w:rPr>
                <w:sz w:val="20"/>
              </w:rPr>
              <w:t>Impact on outcomes</w:t>
            </w:r>
          </w:p>
        </w:tc>
        <w:tc>
          <w:tcPr>
            <w:tcW w:w="2977" w:type="dxa"/>
            <w:tcBorders>
              <w:right w:val="single" w:sz="4" w:space="0" w:color="000000"/>
            </w:tcBorders>
            <w:shd w:val="clear" w:color="auto" w:fill="auto"/>
          </w:tcPr>
          <w:p>
            <w:pPr>
              <w:pStyle w:val="TableRowCentered"/>
              <w:ind w:left="0"/>
              <w:jc w:val="left"/>
              <w:rPr>
                <w:sz w:val="20"/>
              </w:rPr>
            </w:pPr>
            <w:r>
              <w:rPr>
                <w:sz w:val="20"/>
              </w:rPr>
              <w:t>Where sessions were attended students increased by a at least a grade by their mock exams.</w:t>
            </w:r>
          </w:p>
        </w:tc>
        <w:tc>
          <w:tcPr>
            <w:tcW w:w="2977" w:type="dxa"/>
            <w:tcBorders>
              <w:right w:val="single" w:sz="4" w:space="0" w:color="000000"/>
            </w:tcBorders>
            <w:shd w:val="clear" w:color="auto" w:fill="auto"/>
          </w:tcPr>
          <w:p>
            <w:pPr>
              <w:pStyle w:val="TableRowCentered"/>
              <w:ind w:left="0"/>
              <w:jc w:val="left"/>
              <w:rPr>
                <w:sz w:val="20"/>
              </w:rPr>
            </w:pPr>
            <w:r>
              <w:rPr>
                <w:sz w:val="20"/>
              </w:rPr>
              <w:t>Student voice reflected a negative opinion about the my tutor sessions. The main reason for this was because they has already spent a term at home working online and preferred face to face sessions. This affected the uptake.</w:t>
            </w:r>
          </w:p>
          <w:p>
            <w:pPr>
              <w:pStyle w:val="TableRowCentered"/>
              <w:ind w:left="0"/>
              <w:jc w:val="left"/>
              <w:rPr>
                <w:sz w:val="20"/>
              </w:rPr>
            </w:pPr>
            <w:r>
              <w:rPr>
                <w:sz w:val="20"/>
              </w:rPr>
              <w:t>IN 2021-2022 strategy ensure school led tutoring is face to face.</w:t>
            </w:r>
          </w:p>
        </w:tc>
        <w:tc>
          <w:tcPr>
            <w:tcW w:w="2977" w:type="dxa"/>
            <w:tcBorders>
              <w:right w:val="single" w:sz="4" w:space="0" w:color="000000"/>
            </w:tcBorders>
            <w:shd w:val="clear" w:color="auto" w:fill="auto"/>
          </w:tcPr>
          <w:p>
            <w:pPr>
              <w:pStyle w:val="TableRowCentered"/>
              <w:ind w:left="0"/>
              <w:jc w:val="left"/>
              <w:rPr>
                <w:b/>
                <w:szCs w:val="24"/>
              </w:rPr>
            </w:pPr>
          </w:p>
        </w:tc>
      </w:tr>
      <w:tr>
        <w:trPr>
          <w:trHeight w:val="58"/>
        </w:trPr>
        <w:tc>
          <w:tcPr>
            <w:tcW w:w="14885" w:type="dxa"/>
            <w:gridSpan w:val="5"/>
            <w:tcBorders>
              <w:right w:val="single" w:sz="4" w:space="0" w:color="000000"/>
            </w:tcBorders>
            <w:shd w:val="clear" w:color="auto" w:fill="BDD6EE" w:themeFill="accent1" w:themeFillTint="66"/>
          </w:tcPr>
          <w:p>
            <w:pPr>
              <w:pStyle w:val="TableRowCentered"/>
              <w:ind w:left="0"/>
              <w:jc w:val="left"/>
              <w:rPr>
                <w:b/>
                <w:szCs w:val="24"/>
              </w:rPr>
            </w:pPr>
            <w:r>
              <w:rPr>
                <w:b/>
                <w:szCs w:val="24"/>
              </w:rPr>
              <w:t>Other Approaches</w:t>
            </w:r>
          </w:p>
        </w:tc>
      </w:tr>
      <w:tr>
        <w:trPr>
          <w:trHeight w:val="58"/>
        </w:trPr>
        <w:tc>
          <w:tcPr>
            <w:tcW w:w="4254" w:type="dxa"/>
            <w:tcBorders>
              <w:right w:val="single" w:sz="4" w:space="0" w:color="000000"/>
            </w:tcBorders>
            <w:shd w:val="clear" w:color="auto" w:fill="auto"/>
          </w:tcPr>
          <w:p>
            <w:pPr>
              <w:pStyle w:val="TableRowCentered"/>
              <w:ind w:left="0"/>
              <w:jc w:val="left"/>
              <w:rPr>
                <w:b/>
                <w:szCs w:val="24"/>
              </w:rPr>
            </w:pPr>
            <w:r>
              <w:rPr>
                <w:b/>
                <w:szCs w:val="24"/>
              </w:rPr>
              <w:t xml:space="preserve">Action </w:t>
            </w:r>
          </w:p>
        </w:tc>
        <w:tc>
          <w:tcPr>
            <w:tcW w:w="1700" w:type="dxa"/>
            <w:tcBorders>
              <w:right w:val="single" w:sz="4" w:space="0" w:color="000000"/>
            </w:tcBorders>
            <w:shd w:val="clear" w:color="auto" w:fill="auto"/>
          </w:tcPr>
          <w:p>
            <w:pPr>
              <w:pStyle w:val="TableRowCentered"/>
              <w:ind w:left="0"/>
              <w:jc w:val="left"/>
              <w:rPr>
                <w:b/>
                <w:szCs w:val="24"/>
              </w:rPr>
            </w:pPr>
            <w:r>
              <w:rPr>
                <w:b/>
                <w:szCs w:val="24"/>
              </w:rPr>
              <w:t>Intended Outcome</w:t>
            </w:r>
          </w:p>
        </w:tc>
        <w:tc>
          <w:tcPr>
            <w:tcW w:w="2977" w:type="dxa"/>
            <w:tcBorders>
              <w:right w:val="single" w:sz="4" w:space="0" w:color="000000"/>
            </w:tcBorders>
            <w:shd w:val="clear" w:color="auto" w:fill="auto"/>
          </w:tcPr>
          <w:p>
            <w:pPr>
              <w:pStyle w:val="TableRowCentered"/>
              <w:ind w:left="0"/>
              <w:jc w:val="left"/>
              <w:rPr>
                <w:b/>
                <w:szCs w:val="24"/>
              </w:rPr>
            </w:pPr>
            <w:r>
              <w:rPr>
                <w:b/>
                <w:szCs w:val="24"/>
              </w:rPr>
              <w:t>Estimated Impact</w:t>
            </w:r>
          </w:p>
        </w:tc>
        <w:tc>
          <w:tcPr>
            <w:tcW w:w="2977" w:type="dxa"/>
            <w:tcBorders>
              <w:right w:val="single" w:sz="4" w:space="0" w:color="000000"/>
            </w:tcBorders>
            <w:shd w:val="clear" w:color="auto" w:fill="auto"/>
          </w:tcPr>
          <w:p>
            <w:pPr>
              <w:pStyle w:val="TableRowCentered"/>
              <w:ind w:left="0"/>
              <w:jc w:val="left"/>
              <w:rPr>
                <w:b/>
                <w:szCs w:val="24"/>
              </w:rPr>
            </w:pPr>
            <w:r>
              <w:rPr>
                <w:b/>
                <w:szCs w:val="24"/>
              </w:rPr>
              <w:t>Lessons Learned</w:t>
            </w:r>
          </w:p>
        </w:tc>
        <w:tc>
          <w:tcPr>
            <w:tcW w:w="2977" w:type="dxa"/>
            <w:tcBorders>
              <w:right w:val="single" w:sz="4" w:space="0" w:color="000000"/>
            </w:tcBorders>
            <w:shd w:val="clear" w:color="auto" w:fill="auto"/>
          </w:tcPr>
          <w:p>
            <w:pPr>
              <w:pStyle w:val="TableRowCentered"/>
              <w:ind w:left="0"/>
              <w:jc w:val="left"/>
              <w:rPr>
                <w:b/>
                <w:szCs w:val="24"/>
              </w:rPr>
            </w:pPr>
            <w:r>
              <w:rPr>
                <w:b/>
                <w:szCs w:val="24"/>
              </w:rPr>
              <w:t>Cost</w:t>
            </w:r>
          </w:p>
        </w:tc>
      </w:tr>
      <w:tr>
        <w:trPr>
          <w:trHeight w:val="58"/>
        </w:trPr>
        <w:tc>
          <w:tcPr>
            <w:tcW w:w="4254" w:type="dxa"/>
          </w:tcPr>
          <w:p>
            <w:pPr>
              <w:pStyle w:val="ListParagraph"/>
              <w:numPr>
                <w:ilvl w:val="0"/>
                <w:numId w:val="19"/>
              </w:numPr>
              <w:suppressAutoHyphens w:val="0"/>
              <w:autoSpaceDN/>
              <w:spacing w:after="0" w:line="240" w:lineRule="auto"/>
              <w:rPr>
                <w:rFonts w:cstheme="minorHAnsi"/>
                <w:sz w:val="20"/>
                <w:szCs w:val="20"/>
              </w:rPr>
            </w:pPr>
            <w:r>
              <w:rPr>
                <w:rFonts w:cstheme="minorHAnsi"/>
                <w:sz w:val="20"/>
                <w:szCs w:val="20"/>
              </w:rPr>
              <w:t>Ensure that any PP students who are isolating have access to their usual curriculum online(SEPT20)</w:t>
            </w:r>
          </w:p>
          <w:p>
            <w:pPr>
              <w:pStyle w:val="ListParagraph"/>
              <w:numPr>
                <w:ilvl w:val="0"/>
                <w:numId w:val="19"/>
              </w:numPr>
              <w:suppressAutoHyphens w:val="0"/>
              <w:autoSpaceDN/>
              <w:spacing w:after="0" w:line="240" w:lineRule="auto"/>
              <w:rPr>
                <w:rFonts w:cstheme="minorHAnsi"/>
                <w:sz w:val="20"/>
                <w:szCs w:val="20"/>
              </w:rPr>
            </w:pPr>
            <w:r>
              <w:rPr>
                <w:rFonts w:cstheme="minorHAnsi"/>
                <w:sz w:val="20"/>
                <w:szCs w:val="20"/>
              </w:rPr>
              <w:t>Ensure that parents are informed and reminded of return to school dates following an isolation period(SEPT20)</w:t>
            </w:r>
          </w:p>
          <w:p>
            <w:pPr>
              <w:pStyle w:val="ListParagraph"/>
              <w:numPr>
                <w:ilvl w:val="0"/>
                <w:numId w:val="19"/>
              </w:numPr>
              <w:suppressAutoHyphens w:val="0"/>
              <w:autoSpaceDN/>
              <w:spacing w:after="0" w:line="240" w:lineRule="auto"/>
              <w:rPr>
                <w:rFonts w:cstheme="minorHAnsi"/>
                <w:sz w:val="20"/>
                <w:szCs w:val="20"/>
              </w:rPr>
            </w:pPr>
            <w:r>
              <w:rPr>
                <w:rFonts w:cstheme="minorHAnsi"/>
                <w:sz w:val="20"/>
                <w:szCs w:val="20"/>
              </w:rPr>
              <w:t>SLT/attendance team phone calls to explain clear guidance so parents feel confident sending their children to school (Sept20)</w:t>
            </w:r>
          </w:p>
          <w:p>
            <w:pPr>
              <w:pStyle w:val="ListParagraph"/>
              <w:numPr>
                <w:ilvl w:val="0"/>
                <w:numId w:val="19"/>
              </w:numPr>
              <w:suppressAutoHyphens w:val="0"/>
              <w:autoSpaceDN/>
              <w:spacing w:after="0" w:line="240" w:lineRule="auto"/>
              <w:rPr>
                <w:rFonts w:cstheme="minorHAnsi"/>
                <w:sz w:val="20"/>
                <w:szCs w:val="20"/>
              </w:rPr>
            </w:pPr>
            <w:r>
              <w:rPr>
                <w:rFonts w:cstheme="minorHAnsi"/>
                <w:sz w:val="20"/>
                <w:szCs w:val="20"/>
              </w:rPr>
              <w:t>Clear communication from HT with regards to COVID 19 updates</w:t>
            </w:r>
          </w:p>
          <w:p>
            <w:pPr>
              <w:pStyle w:val="ListParagraph"/>
              <w:numPr>
                <w:ilvl w:val="0"/>
                <w:numId w:val="19"/>
              </w:numPr>
              <w:suppressAutoHyphens w:val="0"/>
              <w:autoSpaceDN/>
              <w:spacing w:after="0" w:line="240" w:lineRule="auto"/>
              <w:rPr>
                <w:rFonts w:cstheme="minorHAnsi"/>
                <w:sz w:val="20"/>
                <w:szCs w:val="20"/>
              </w:rPr>
            </w:pPr>
            <w:r>
              <w:rPr>
                <w:rFonts w:cstheme="minorHAnsi"/>
                <w:sz w:val="20"/>
                <w:szCs w:val="20"/>
              </w:rPr>
              <w:t>Develop pro-active interventions to lower exclusion rates for all groups (PMc)</w:t>
            </w:r>
          </w:p>
          <w:p>
            <w:pPr>
              <w:pStyle w:val="ListParagraph"/>
              <w:numPr>
                <w:ilvl w:val="0"/>
                <w:numId w:val="19"/>
              </w:numPr>
              <w:suppressAutoHyphens w:val="0"/>
              <w:autoSpaceDN/>
              <w:spacing w:after="160" w:line="259" w:lineRule="auto"/>
              <w:rPr>
                <w:rFonts w:cstheme="minorHAnsi"/>
                <w:color w:val="000000" w:themeColor="text1"/>
                <w:sz w:val="20"/>
                <w:szCs w:val="20"/>
              </w:rPr>
            </w:pPr>
            <w:r>
              <w:rPr>
                <w:rFonts w:cstheme="minorHAnsi"/>
                <w:color w:val="000000" w:themeColor="text1"/>
                <w:sz w:val="20"/>
                <w:szCs w:val="20"/>
              </w:rPr>
              <w:t>Develop attendance intervention to increase attendance and lower PA for all groups (SDU)</w:t>
            </w:r>
          </w:p>
          <w:p>
            <w:pPr>
              <w:pStyle w:val="ListParagraph"/>
              <w:numPr>
                <w:ilvl w:val="0"/>
                <w:numId w:val="19"/>
              </w:numPr>
              <w:suppressAutoHyphens w:val="0"/>
              <w:autoSpaceDN/>
              <w:spacing w:after="0" w:line="240" w:lineRule="auto"/>
              <w:rPr>
                <w:rFonts w:cstheme="minorHAnsi"/>
                <w:color w:val="000000" w:themeColor="text1"/>
                <w:sz w:val="20"/>
                <w:szCs w:val="20"/>
              </w:rPr>
            </w:pPr>
            <w:r>
              <w:rPr>
                <w:rFonts w:cstheme="minorHAnsi"/>
                <w:color w:val="000000" w:themeColor="text1"/>
                <w:sz w:val="20"/>
                <w:szCs w:val="20"/>
              </w:rPr>
              <w:lastRenderedPageBreak/>
              <w:t>Improve punctuality and attendance to school for PP and SEND students (SDU)</w:t>
            </w:r>
          </w:p>
          <w:p>
            <w:pPr>
              <w:pStyle w:val="ListParagraph"/>
              <w:numPr>
                <w:ilvl w:val="0"/>
                <w:numId w:val="19"/>
              </w:numPr>
              <w:suppressAutoHyphens w:val="0"/>
              <w:autoSpaceDN/>
              <w:spacing w:after="0" w:line="240" w:lineRule="auto"/>
              <w:rPr>
                <w:rFonts w:cstheme="minorHAnsi"/>
                <w:color w:val="000000" w:themeColor="text1"/>
                <w:sz w:val="20"/>
                <w:szCs w:val="20"/>
              </w:rPr>
            </w:pPr>
            <w:r>
              <w:rPr>
                <w:rFonts w:cstheme="minorHAnsi"/>
                <w:color w:val="000000" w:themeColor="text1"/>
                <w:sz w:val="20"/>
                <w:szCs w:val="20"/>
              </w:rPr>
              <w:t xml:space="preserve">Develop late sanction and routines, </w:t>
            </w:r>
            <w:r>
              <w:rPr>
                <w:rFonts w:cstheme="minorHAnsi"/>
                <w:color w:val="000000" w:themeColor="text1"/>
                <w:sz w:val="20"/>
                <w:szCs w:val="20"/>
              </w:rPr>
              <w:br/>
              <w:t>improving punctuality for PP and SEND students (SDU)</w:t>
            </w:r>
          </w:p>
          <w:p>
            <w:pPr>
              <w:pStyle w:val="ListParagraph"/>
              <w:numPr>
                <w:ilvl w:val="0"/>
                <w:numId w:val="19"/>
              </w:numPr>
              <w:suppressAutoHyphens w:val="0"/>
              <w:autoSpaceDN/>
              <w:spacing w:after="0" w:line="240" w:lineRule="auto"/>
              <w:rPr>
                <w:rFonts w:cstheme="minorHAnsi"/>
                <w:color w:val="000000" w:themeColor="text1"/>
                <w:sz w:val="20"/>
                <w:szCs w:val="20"/>
              </w:rPr>
            </w:pPr>
            <w:r>
              <w:rPr>
                <w:rFonts w:cstheme="minorHAnsi"/>
                <w:color w:val="000000" w:themeColor="text1"/>
                <w:sz w:val="20"/>
                <w:szCs w:val="20"/>
              </w:rPr>
              <w:t>Develop strategies to monitor attendance and apply interventions at an earlier stage with use of attendance team(SDU)</w:t>
            </w:r>
          </w:p>
          <w:p>
            <w:pPr>
              <w:pStyle w:val="ListParagraph"/>
              <w:numPr>
                <w:ilvl w:val="0"/>
                <w:numId w:val="19"/>
              </w:numPr>
              <w:suppressAutoHyphens w:val="0"/>
              <w:autoSpaceDN/>
              <w:spacing w:after="0" w:line="240" w:lineRule="auto"/>
              <w:rPr>
                <w:rFonts w:cstheme="minorHAnsi"/>
                <w:sz w:val="20"/>
                <w:szCs w:val="20"/>
              </w:rPr>
            </w:pPr>
            <w:r>
              <w:rPr>
                <w:rFonts w:cstheme="minorHAnsi"/>
                <w:sz w:val="20"/>
                <w:szCs w:val="20"/>
              </w:rPr>
              <w:t>CPD training for attendance mentors(PMC)</w:t>
            </w:r>
          </w:p>
          <w:p>
            <w:pPr>
              <w:pStyle w:val="ListParagraph"/>
              <w:numPr>
                <w:ilvl w:val="0"/>
                <w:numId w:val="19"/>
              </w:numPr>
              <w:suppressAutoHyphens w:val="0"/>
              <w:autoSpaceDN/>
              <w:spacing w:after="0" w:line="240" w:lineRule="auto"/>
              <w:rPr>
                <w:rFonts w:cstheme="minorHAnsi"/>
                <w:sz w:val="20"/>
                <w:szCs w:val="20"/>
              </w:rPr>
            </w:pPr>
            <w:r>
              <w:rPr>
                <w:rFonts w:cstheme="minorHAnsi"/>
                <w:sz w:val="20"/>
                <w:szCs w:val="20"/>
              </w:rPr>
              <w:t>Weekly attendance analysis meetings(SDU)</w:t>
            </w:r>
          </w:p>
          <w:p>
            <w:pPr>
              <w:pStyle w:val="ListParagraph"/>
              <w:numPr>
                <w:ilvl w:val="0"/>
                <w:numId w:val="19"/>
              </w:numPr>
              <w:suppressAutoHyphens w:val="0"/>
              <w:autoSpaceDN/>
              <w:spacing w:after="160" w:line="259" w:lineRule="auto"/>
              <w:rPr>
                <w:rFonts w:cstheme="minorHAnsi"/>
                <w:sz w:val="20"/>
                <w:szCs w:val="20"/>
              </w:rPr>
            </w:pPr>
            <w:r>
              <w:rPr>
                <w:rFonts w:cstheme="minorHAnsi"/>
                <w:sz w:val="20"/>
                <w:szCs w:val="20"/>
              </w:rPr>
              <w:t>Regular communication with parents by termly attendance letter highlighting individual student attendance(SDU)</w:t>
            </w:r>
          </w:p>
          <w:p>
            <w:pPr>
              <w:pStyle w:val="ListParagraph"/>
              <w:numPr>
                <w:ilvl w:val="0"/>
                <w:numId w:val="19"/>
              </w:numPr>
              <w:suppressAutoHyphens w:val="0"/>
              <w:autoSpaceDN/>
              <w:spacing w:after="160" w:line="259" w:lineRule="auto"/>
              <w:rPr>
                <w:rFonts w:cstheme="minorHAnsi"/>
                <w:sz w:val="20"/>
                <w:szCs w:val="20"/>
              </w:rPr>
            </w:pPr>
            <w:r>
              <w:rPr>
                <w:rFonts w:cstheme="minorHAnsi"/>
                <w:sz w:val="20"/>
                <w:szCs w:val="20"/>
              </w:rPr>
              <w:t>Structured home visits for those students who are at risk of PA(SDU)</w:t>
            </w:r>
          </w:p>
          <w:p>
            <w:pPr>
              <w:pStyle w:val="ListParagraph"/>
              <w:numPr>
                <w:ilvl w:val="0"/>
                <w:numId w:val="19"/>
              </w:numPr>
              <w:suppressAutoHyphens w:val="0"/>
              <w:autoSpaceDN/>
              <w:spacing w:after="160" w:line="259" w:lineRule="auto"/>
              <w:rPr>
                <w:rFonts w:cstheme="minorHAnsi"/>
                <w:sz w:val="20"/>
                <w:szCs w:val="20"/>
              </w:rPr>
            </w:pPr>
            <w:r>
              <w:rPr>
                <w:rFonts w:cstheme="minorHAnsi"/>
                <w:sz w:val="20"/>
                <w:szCs w:val="20"/>
              </w:rPr>
              <w:t>Attendance panel meetings with parents of all students identified as becoming in danger of PA(SDU/ GHA)</w:t>
            </w:r>
          </w:p>
          <w:p>
            <w:pPr>
              <w:pStyle w:val="ListParagraph"/>
              <w:numPr>
                <w:ilvl w:val="0"/>
                <w:numId w:val="19"/>
              </w:numPr>
              <w:suppressAutoHyphens w:val="0"/>
              <w:autoSpaceDN/>
              <w:spacing w:after="160" w:line="259" w:lineRule="auto"/>
              <w:rPr>
                <w:rFonts w:cstheme="minorHAnsi"/>
                <w:sz w:val="20"/>
                <w:szCs w:val="20"/>
              </w:rPr>
            </w:pPr>
            <w:r>
              <w:rPr>
                <w:rFonts w:cstheme="minorHAnsi"/>
                <w:sz w:val="20"/>
                <w:szCs w:val="20"/>
              </w:rPr>
              <w:t>Attendance target groups identified specific to PP and SEND. Designated mentor in charge of the group and impact measured weekly(SDU)</w:t>
            </w:r>
          </w:p>
          <w:p>
            <w:pPr>
              <w:pStyle w:val="ListParagraph"/>
              <w:numPr>
                <w:ilvl w:val="0"/>
                <w:numId w:val="19"/>
              </w:numPr>
              <w:suppressAutoHyphens w:val="0"/>
              <w:autoSpaceDN/>
              <w:spacing w:after="160" w:line="259" w:lineRule="auto"/>
              <w:rPr>
                <w:rFonts w:cstheme="minorHAnsi"/>
                <w:sz w:val="20"/>
                <w:szCs w:val="20"/>
              </w:rPr>
            </w:pPr>
            <w:r>
              <w:rPr>
                <w:rFonts w:cstheme="minorHAnsi"/>
                <w:sz w:val="20"/>
                <w:szCs w:val="20"/>
              </w:rPr>
              <w:t>Create attendance strategy and share with SLT, with a  focus on narrowing the attendance gap of PP v non PP (SDU)</w:t>
            </w:r>
          </w:p>
          <w:p>
            <w:pPr>
              <w:pStyle w:val="ListParagraph"/>
              <w:numPr>
                <w:ilvl w:val="0"/>
                <w:numId w:val="19"/>
              </w:numPr>
              <w:suppressAutoHyphens w:val="0"/>
              <w:autoSpaceDN/>
              <w:spacing w:after="160" w:line="259" w:lineRule="auto"/>
              <w:rPr>
                <w:rFonts w:cstheme="minorHAnsi"/>
                <w:sz w:val="20"/>
                <w:szCs w:val="20"/>
              </w:rPr>
            </w:pPr>
            <w:r>
              <w:rPr>
                <w:rFonts w:cstheme="minorHAnsi"/>
                <w:sz w:val="20"/>
                <w:szCs w:val="20"/>
              </w:rPr>
              <w:t>Launch the LPPA award, to focus on parental engagement linked to attainment and attendance (SDU)</w:t>
            </w:r>
          </w:p>
        </w:tc>
        <w:tc>
          <w:tcPr>
            <w:tcW w:w="1700" w:type="dxa"/>
          </w:tcPr>
          <w:p>
            <w:pPr>
              <w:autoSpaceDE w:val="0"/>
              <w:autoSpaceDN w:val="0"/>
              <w:adjustRightInd w:val="0"/>
              <w:spacing w:after="160" w:line="259" w:lineRule="auto"/>
              <w:rPr>
                <w:rFonts w:cstheme="minorHAnsi"/>
                <w:sz w:val="20"/>
                <w:szCs w:val="20"/>
              </w:rPr>
            </w:pPr>
            <w:r>
              <w:rPr>
                <w:rFonts w:cstheme="minorHAnsi"/>
                <w:color w:val="000000" w:themeColor="text1"/>
                <w:sz w:val="20"/>
                <w:szCs w:val="20"/>
              </w:rPr>
              <w:lastRenderedPageBreak/>
              <w:t>Raise attendance for all disadvantaged pupils and students with SEND focussing on raising PP attendance to close the PP gap.</w:t>
            </w:r>
          </w:p>
          <w:p>
            <w:pPr>
              <w:autoSpaceDE w:val="0"/>
              <w:autoSpaceDN w:val="0"/>
              <w:adjustRightInd w:val="0"/>
              <w:spacing w:after="160" w:line="259" w:lineRule="auto"/>
              <w:rPr>
                <w:rFonts w:cstheme="minorHAnsi"/>
                <w:sz w:val="20"/>
                <w:szCs w:val="20"/>
              </w:rPr>
            </w:pPr>
          </w:p>
          <w:p>
            <w:pPr>
              <w:autoSpaceDE w:val="0"/>
              <w:autoSpaceDN w:val="0"/>
              <w:adjustRightInd w:val="0"/>
              <w:spacing w:after="160" w:line="259" w:lineRule="auto"/>
              <w:rPr>
                <w:rFonts w:cstheme="minorHAnsi"/>
                <w:sz w:val="20"/>
                <w:szCs w:val="20"/>
              </w:rPr>
            </w:pPr>
          </w:p>
          <w:p>
            <w:pPr>
              <w:autoSpaceDE w:val="0"/>
              <w:autoSpaceDN w:val="0"/>
              <w:adjustRightInd w:val="0"/>
              <w:spacing w:after="160" w:line="259" w:lineRule="auto"/>
              <w:rPr>
                <w:rFonts w:cstheme="minorHAnsi"/>
                <w:sz w:val="20"/>
                <w:szCs w:val="20"/>
              </w:rPr>
            </w:pPr>
          </w:p>
          <w:p>
            <w:pPr>
              <w:autoSpaceDE w:val="0"/>
              <w:autoSpaceDN w:val="0"/>
              <w:adjustRightInd w:val="0"/>
              <w:spacing w:after="160" w:line="259" w:lineRule="auto"/>
              <w:rPr>
                <w:rFonts w:cstheme="minorHAnsi"/>
                <w:sz w:val="20"/>
                <w:szCs w:val="20"/>
              </w:rPr>
            </w:pPr>
          </w:p>
          <w:p>
            <w:pPr>
              <w:autoSpaceDE w:val="0"/>
              <w:autoSpaceDN w:val="0"/>
              <w:adjustRightInd w:val="0"/>
              <w:spacing w:after="160" w:line="259" w:lineRule="auto"/>
              <w:rPr>
                <w:rFonts w:cstheme="minorHAnsi"/>
                <w:sz w:val="20"/>
                <w:szCs w:val="20"/>
              </w:rPr>
            </w:pPr>
            <w:r>
              <w:rPr>
                <w:rFonts w:cstheme="minorHAnsi"/>
                <w:sz w:val="20"/>
                <w:szCs w:val="20"/>
              </w:rPr>
              <w:t xml:space="preserve">PP outcomes improve despite </w:t>
            </w:r>
            <w:r>
              <w:rPr>
                <w:rFonts w:cstheme="minorHAnsi"/>
                <w:sz w:val="20"/>
                <w:szCs w:val="20"/>
              </w:rPr>
              <w:lastRenderedPageBreak/>
              <w:t>learning at home (SDU/HODS)</w:t>
            </w:r>
          </w:p>
          <w:p>
            <w:pPr>
              <w:autoSpaceDE w:val="0"/>
              <w:autoSpaceDN w:val="0"/>
              <w:adjustRightInd w:val="0"/>
              <w:spacing w:after="160" w:line="259" w:lineRule="auto"/>
              <w:rPr>
                <w:rFonts w:cstheme="minorHAnsi"/>
                <w:sz w:val="20"/>
                <w:szCs w:val="20"/>
              </w:rPr>
            </w:pPr>
          </w:p>
          <w:p>
            <w:pPr>
              <w:autoSpaceDE w:val="0"/>
              <w:autoSpaceDN w:val="0"/>
              <w:adjustRightInd w:val="0"/>
              <w:spacing w:after="160" w:line="259" w:lineRule="auto"/>
              <w:rPr>
                <w:rFonts w:cstheme="minorHAnsi"/>
                <w:sz w:val="20"/>
                <w:szCs w:val="20"/>
              </w:rPr>
            </w:pPr>
            <w:r>
              <w:rPr>
                <w:rFonts w:cstheme="minorHAnsi"/>
                <w:sz w:val="20"/>
                <w:szCs w:val="20"/>
              </w:rPr>
              <w:t>Parents aware of clear guidelines so they are confident sending children to school (RCO/SDU)</w:t>
            </w:r>
          </w:p>
          <w:p>
            <w:pPr>
              <w:autoSpaceDE w:val="0"/>
              <w:autoSpaceDN w:val="0"/>
              <w:adjustRightInd w:val="0"/>
              <w:spacing w:after="160" w:line="259" w:lineRule="auto"/>
              <w:rPr>
                <w:rFonts w:cstheme="minorHAnsi"/>
                <w:sz w:val="20"/>
                <w:szCs w:val="20"/>
              </w:rPr>
            </w:pPr>
          </w:p>
          <w:p>
            <w:pPr>
              <w:autoSpaceDE w:val="0"/>
              <w:autoSpaceDN w:val="0"/>
              <w:adjustRightInd w:val="0"/>
              <w:spacing w:after="160" w:line="259" w:lineRule="auto"/>
              <w:rPr>
                <w:rFonts w:cstheme="minorHAnsi"/>
                <w:sz w:val="20"/>
                <w:szCs w:val="20"/>
              </w:rPr>
            </w:pPr>
            <w:r>
              <w:rPr>
                <w:rFonts w:cstheme="minorHAnsi"/>
                <w:sz w:val="20"/>
                <w:szCs w:val="20"/>
              </w:rPr>
              <w:t>PP attendance  compared to non PP less than 3%</w:t>
            </w:r>
          </w:p>
          <w:p>
            <w:pPr>
              <w:spacing w:after="160" w:line="259" w:lineRule="auto"/>
              <w:rPr>
                <w:rFonts w:cstheme="minorHAnsi"/>
                <w:sz w:val="20"/>
                <w:szCs w:val="20"/>
              </w:rPr>
            </w:pPr>
          </w:p>
          <w:p>
            <w:pPr>
              <w:rPr>
                <w:rFonts w:cstheme="minorHAnsi"/>
                <w:sz w:val="20"/>
                <w:szCs w:val="20"/>
              </w:rPr>
            </w:pPr>
          </w:p>
          <w:p>
            <w:pPr>
              <w:spacing w:after="160" w:line="259" w:lineRule="auto"/>
              <w:rPr>
                <w:rFonts w:cstheme="minorHAnsi"/>
                <w:sz w:val="20"/>
                <w:szCs w:val="20"/>
              </w:rPr>
            </w:pPr>
            <w:r>
              <w:rPr>
                <w:rFonts w:cstheme="minorHAnsi"/>
                <w:sz w:val="20"/>
                <w:szCs w:val="20"/>
              </w:rPr>
              <w:t>Target PP group was 84.79% 2018/2019. Improved at end of term 1 by at least 1%</w:t>
            </w:r>
          </w:p>
          <w:p>
            <w:pPr>
              <w:rPr>
                <w:rFonts w:cstheme="minorHAnsi"/>
                <w:sz w:val="20"/>
                <w:szCs w:val="20"/>
              </w:rPr>
            </w:pPr>
            <w:r>
              <w:rPr>
                <w:rFonts w:cstheme="minorHAnsi"/>
                <w:sz w:val="20"/>
                <w:szCs w:val="20"/>
              </w:rPr>
              <w:t>Target SEND group was 87.77% 2018/2019. Improved by at least 1%</w:t>
            </w:r>
          </w:p>
        </w:tc>
        <w:tc>
          <w:tcPr>
            <w:tcW w:w="2977" w:type="dxa"/>
          </w:tcPr>
          <w:p>
            <w:pPr>
              <w:autoSpaceDE w:val="0"/>
              <w:autoSpaceDN w:val="0"/>
              <w:adjustRightInd w:val="0"/>
              <w:spacing w:after="160" w:line="259" w:lineRule="auto"/>
              <w:rPr>
                <w:rFonts w:cstheme="minorHAnsi"/>
                <w:sz w:val="20"/>
                <w:szCs w:val="20"/>
              </w:rPr>
            </w:pPr>
          </w:p>
          <w:p>
            <w:pPr>
              <w:rPr>
                <w:rFonts w:cstheme="minorHAnsi"/>
                <w:sz w:val="20"/>
                <w:szCs w:val="20"/>
              </w:rPr>
            </w:pPr>
            <w:r>
              <w:rPr>
                <w:noProof/>
                <w:lang w:eastAsia="en-GB"/>
              </w:rPr>
              <w:drawing>
                <wp:inline distT="0" distB="0" distL="0" distR="0">
                  <wp:extent cx="1753235" cy="9728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753235" cy="972820"/>
                          </a:xfrm>
                          <a:prstGeom prst="rect">
                            <a:avLst/>
                          </a:prstGeom>
                        </pic:spPr>
                      </pic:pic>
                    </a:graphicData>
                  </a:graphic>
                </wp:inline>
              </w:drawing>
            </w:r>
          </w:p>
          <w:p>
            <w:pPr>
              <w:rPr>
                <w:rFonts w:cstheme="minorHAnsi"/>
                <w:sz w:val="20"/>
                <w:szCs w:val="20"/>
              </w:rPr>
            </w:pPr>
          </w:p>
          <w:p>
            <w:r>
              <w:t>The gap between students eligible for pupil premium and non-pupil premium from September to half term 5 was -6.0. This is showing signs of closure as the year has progressed. (HT1 -7.3%, HT 5 -4.6%)</w:t>
            </w:r>
          </w:p>
          <w:p/>
          <w:p/>
          <w:p>
            <w:r>
              <w:rPr>
                <w:noProof/>
                <w:lang w:eastAsia="en-GB"/>
              </w:rPr>
              <w:lastRenderedPageBreak/>
              <w:drawing>
                <wp:anchor distT="0" distB="0" distL="114300" distR="114300" simplePos="0" relativeHeight="251658240" behindDoc="0" locked="0" layoutInCell="1" allowOverlap="1">
                  <wp:simplePos x="0" y="0"/>
                  <wp:positionH relativeFrom="column">
                    <wp:posOffset>-73660</wp:posOffset>
                  </wp:positionH>
                  <wp:positionV relativeFrom="paragraph">
                    <wp:posOffset>85725</wp:posOffset>
                  </wp:positionV>
                  <wp:extent cx="1847215" cy="673722"/>
                  <wp:effectExtent l="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847215" cy="673722"/>
                          </a:xfrm>
                          <a:prstGeom prst="rect">
                            <a:avLst/>
                          </a:prstGeom>
                        </pic:spPr>
                      </pic:pic>
                    </a:graphicData>
                  </a:graphic>
                </wp:anchor>
              </w:drawing>
            </w:r>
          </w:p>
          <w:p/>
          <w:p/>
          <w:p>
            <w:pPr>
              <w:rPr>
                <w:rFonts w:cstheme="minorHAnsi"/>
                <w:sz w:val="20"/>
                <w:szCs w:val="20"/>
              </w:rPr>
            </w:pPr>
          </w:p>
          <w:p>
            <w:pPr>
              <w:rPr>
                <w:rFonts w:cstheme="minorHAnsi"/>
                <w:sz w:val="20"/>
                <w:szCs w:val="20"/>
              </w:rPr>
            </w:pPr>
          </w:p>
          <w:p>
            <w:pPr>
              <w:rPr>
                <w:rFonts w:cstheme="minorHAnsi"/>
                <w:sz w:val="20"/>
                <w:szCs w:val="20"/>
              </w:rPr>
            </w:pPr>
          </w:p>
          <w:p>
            <w:r>
              <w:t xml:space="preserve">The table above shows 90.26% of EHCP students and 95% of EAL students have attended school since September. </w:t>
            </w:r>
          </w:p>
          <w:p>
            <w:pPr>
              <w:rPr>
                <w:rFonts w:cstheme="minorHAnsi"/>
                <w:sz w:val="20"/>
                <w:szCs w:val="20"/>
              </w:rPr>
            </w:pPr>
          </w:p>
        </w:tc>
        <w:tc>
          <w:tcPr>
            <w:tcW w:w="2977" w:type="dxa"/>
            <w:tcBorders>
              <w:right w:val="single" w:sz="4" w:space="0" w:color="000000"/>
            </w:tcBorders>
            <w:shd w:val="clear" w:color="auto" w:fill="auto"/>
          </w:tcPr>
          <w:p>
            <w:pPr>
              <w:pStyle w:val="TableRowCentered"/>
              <w:ind w:left="0"/>
              <w:jc w:val="left"/>
              <w:rPr>
                <w:sz w:val="20"/>
              </w:rPr>
            </w:pPr>
            <w:r>
              <w:rPr>
                <w:sz w:val="20"/>
              </w:rPr>
              <w:lastRenderedPageBreak/>
              <w:t xml:space="preserve">Covid 19 significantly affected attendance but we continually compare it to Natonal figures. </w:t>
            </w:r>
          </w:p>
          <w:p>
            <w:pPr>
              <w:rPr>
                <w:lang w:eastAsia="en-GB"/>
              </w:rPr>
            </w:pPr>
          </w:p>
          <w:p>
            <w:pPr>
              <w:rPr>
                <w:lang w:eastAsia="en-GB"/>
              </w:rPr>
            </w:pPr>
            <w:r>
              <w:rPr>
                <w:lang w:eastAsia="en-GB"/>
              </w:rPr>
              <w:t>Requirement to increase the capacity ii the attendance to enable more home visits and communication with students and parents.</w:t>
            </w:r>
          </w:p>
        </w:tc>
        <w:tc>
          <w:tcPr>
            <w:tcW w:w="2977" w:type="dxa"/>
            <w:tcBorders>
              <w:right w:val="single" w:sz="4" w:space="0" w:color="000000"/>
            </w:tcBorders>
            <w:shd w:val="clear" w:color="auto" w:fill="auto"/>
          </w:tcPr>
          <w:p>
            <w:pPr>
              <w:rPr>
                <w:rFonts w:cstheme="minorHAnsi"/>
                <w:sz w:val="20"/>
                <w:szCs w:val="20"/>
              </w:rPr>
            </w:pPr>
            <w:r>
              <w:rPr>
                <w:rFonts w:cstheme="minorHAnsi"/>
                <w:sz w:val="20"/>
                <w:szCs w:val="20"/>
              </w:rPr>
              <w:t>Attendance officer (on confidential strategy)</w:t>
            </w:r>
          </w:p>
          <w:p>
            <w:pPr>
              <w:autoSpaceDE w:val="0"/>
              <w:autoSpaceDN w:val="0"/>
              <w:adjustRightInd w:val="0"/>
              <w:ind w:left="111"/>
              <w:rPr>
                <w:rFonts w:cstheme="minorHAnsi"/>
                <w:sz w:val="20"/>
                <w:szCs w:val="20"/>
              </w:rPr>
            </w:pPr>
          </w:p>
          <w:p>
            <w:pPr>
              <w:autoSpaceDE w:val="0"/>
              <w:autoSpaceDN w:val="0"/>
              <w:adjustRightInd w:val="0"/>
              <w:ind w:left="111"/>
              <w:rPr>
                <w:rFonts w:cstheme="minorHAnsi"/>
                <w:sz w:val="20"/>
                <w:szCs w:val="20"/>
              </w:rPr>
            </w:pPr>
          </w:p>
          <w:p>
            <w:pPr>
              <w:autoSpaceDE w:val="0"/>
              <w:autoSpaceDN w:val="0"/>
              <w:adjustRightInd w:val="0"/>
              <w:ind w:left="111"/>
              <w:rPr>
                <w:rFonts w:cstheme="minorHAnsi"/>
                <w:sz w:val="20"/>
                <w:szCs w:val="20"/>
              </w:rPr>
            </w:pPr>
            <w:r>
              <w:rPr>
                <w:rFonts w:cstheme="minorHAnsi"/>
                <w:sz w:val="20"/>
                <w:szCs w:val="20"/>
              </w:rPr>
              <w:t>Rewards budget</w:t>
            </w:r>
          </w:p>
          <w:p>
            <w:pPr>
              <w:autoSpaceDE w:val="0"/>
              <w:autoSpaceDN w:val="0"/>
              <w:adjustRightInd w:val="0"/>
              <w:ind w:left="111"/>
              <w:rPr>
                <w:rFonts w:cstheme="minorHAnsi"/>
                <w:sz w:val="20"/>
                <w:szCs w:val="20"/>
              </w:rPr>
            </w:pPr>
            <w:r>
              <w:rPr>
                <w:rFonts w:cstheme="minorHAnsi"/>
                <w:sz w:val="20"/>
                <w:szCs w:val="20"/>
              </w:rPr>
              <w:t>£9,000</w:t>
            </w:r>
          </w:p>
          <w:p>
            <w:pPr>
              <w:autoSpaceDE w:val="0"/>
              <w:autoSpaceDN w:val="0"/>
              <w:adjustRightInd w:val="0"/>
              <w:ind w:left="111"/>
              <w:rPr>
                <w:rFonts w:cstheme="minorHAnsi"/>
                <w:sz w:val="20"/>
                <w:szCs w:val="20"/>
              </w:rPr>
            </w:pPr>
          </w:p>
          <w:p>
            <w:pPr>
              <w:autoSpaceDE w:val="0"/>
              <w:autoSpaceDN w:val="0"/>
              <w:adjustRightInd w:val="0"/>
              <w:ind w:left="111"/>
              <w:rPr>
                <w:rFonts w:cstheme="minorHAnsi"/>
                <w:sz w:val="20"/>
                <w:szCs w:val="20"/>
              </w:rPr>
            </w:pPr>
            <w:r>
              <w:rPr>
                <w:rFonts w:cstheme="minorHAnsi"/>
                <w:sz w:val="20"/>
                <w:szCs w:val="20"/>
              </w:rPr>
              <w:t>Attendance budget</w:t>
            </w:r>
          </w:p>
          <w:p>
            <w:pPr>
              <w:autoSpaceDE w:val="0"/>
              <w:autoSpaceDN w:val="0"/>
              <w:adjustRightInd w:val="0"/>
              <w:ind w:left="111"/>
              <w:rPr>
                <w:rFonts w:cstheme="minorHAnsi"/>
                <w:sz w:val="20"/>
                <w:szCs w:val="20"/>
              </w:rPr>
            </w:pPr>
            <w:r>
              <w:rPr>
                <w:rFonts w:cstheme="minorHAnsi"/>
                <w:sz w:val="20"/>
                <w:szCs w:val="20"/>
              </w:rPr>
              <w:t>(Unsure on amount) £1,530</w:t>
            </w:r>
          </w:p>
          <w:p>
            <w:pPr>
              <w:autoSpaceDE w:val="0"/>
              <w:autoSpaceDN w:val="0"/>
              <w:adjustRightInd w:val="0"/>
              <w:ind w:left="111"/>
              <w:rPr>
                <w:rFonts w:cstheme="minorHAnsi"/>
                <w:sz w:val="20"/>
                <w:szCs w:val="20"/>
              </w:rPr>
            </w:pPr>
          </w:p>
          <w:p>
            <w:pPr>
              <w:rPr>
                <w:rFonts w:cstheme="minorHAnsi"/>
                <w:sz w:val="20"/>
                <w:szCs w:val="20"/>
              </w:rPr>
            </w:pPr>
            <w:r>
              <w:rPr>
                <w:rFonts w:cstheme="minorHAnsi"/>
                <w:sz w:val="20"/>
                <w:szCs w:val="20"/>
              </w:rPr>
              <w:t>Attendance mentors proportion of salary (on confidential strategy)</w:t>
            </w:r>
          </w:p>
          <w:p>
            <w:pPr>
              <w:rPr>
                <w:rFonts w:cstheme="minorHAnsi"/>
                <w:sz w:val="20"/>
                <w:szCs w:val="20"/>
              </w:rPr>
            </w:pPr>
          </w:p>
          <w:p>
            <w:pPr>
              <w:rPr>
                <w:rFonts w:cstheme="minorHAnsi"/>
                <w:sz w:val="20"/>
                <w:szCs w:val="20"/>
              </w:rPr>
            </w:pPr>
          </w:p>
          <w:p>
            <w:pPr>
              <w:rPr>
                <w:rFonts w:cstheme="minorHAnsi"/>
                <w:sz w:val="20"/>
                <w:szCs w:val="20"/>
              </w:rPr>
            </w:pPr>
            <w:r>
              <w:rPr>
                <w:rFonts w:cstheme="minorHAnsi"/>
                <w:sz w:val="20"/>
                <w:szCs w:val="20"/>
              </w:rPr>
              <w:t>Assistant Headteacher proportion of salary</w:t>
            </w:r>
          </w:p>
          <w:p>
            <w:pPr>
              <w:rPr>
                <w:rFonts w:cstheme="minorHAnsi"/>
                <w:sz w:val="20"/>
                <w:szCs w:val="20"/>
              </w:rPr>
            </w:pPr>
            <w:r>
              <w:rPr>
                <w:rFonts w:cstheme="minorHAnsi"/>
                <w:sz w:val="20"/>
                <w:szCs w:val="20"/>
              </w:rPr>
              <w:t>(on confidential strategy)</w:t>
            </w:r>
          </w:p>
          <w:p>
            <w:pPr>
              <w:rPr>
                <w:rFonts w:cstheme="minorHAnsi"/>
                <w:sz w:val="20"/>
                <w:szCs w:val="20"/>
              </w:rPr>
            </w:pPr>
          </w:p>
          <w:p>
            <w:pPr>
              <w:rPr>
                <w:rFonts w:cstheme="minorHAnsi"/>
                <w:sz w:val="20"/>
                <w:szCs w:val="20"/>
              </w:rPr>
            </w:pPr>
          </w:p>
          <w:p>
            <w:pPr>
              <w:rPr>
                <w:rFonts w:cstheme="minorHAnsi"/>
                <w:sz w:val="20"/>
                <w:szCs w:val="20"/>
              </w:rPr>
            </w:pPr>
            <w:r>
              <w:rPr>
                <w:rFonts w:cstheme="minorHAnsi"/>
                <w:sz w:val="20"/>
                <w:szCs w:val="20"/>
              </w:rPr>
              <w:lastRenderedPageBreak/>
              <w:t>Deputy Headteacher proportion of salary (on confidential strategy)</w:t>
            </w:r>
          </w:p>
          <w:p>
            <w:pPr>
              <w:rPr>
                <w:rFonts w:cstheme="minorHAnsi"/>
                <w:sz w:val="20"/>
                <w:szCs w:val="20"/>
              </w:rPr>
            </w:pPr>
          </w:p>
          <w:p>
            <w:pPr>
              <w:pStyle w:val="TableRowCentered"/>
              <w:ind w:left="0"/>
              <w:jc w:val="left"/>
              <w:rPr>
                <w:b/>
                <w:szCs w:val="24"/>
              </w:rPr>
            </w:pPr>
          </w:p>
        </w:tc>
      </w:tr>
      <w:tr>
        <w:trPr>
          <w:trHeight w:val="58"/>
        </w:trPr>
        <w:tc>
          <w:tcPr>
            <w:tcW w:w="4254" w:type="dxa"/>
          </w:tcPr>
          <w:p>
            <w:pPr>
              <w:pStyle w:val="NoSpacing"/>
              <w:numPr>
                <w:ilvl w:val="0"/>
                <w:numId w:val="20"/>
              </w:numPr>
              <w:rPr>
                <w:rFonts w:asciiTheme="minorHAnsi" w:hAnsiTheme="minorHAnsi" w:cstheme="minorHAnsi"/>
                <w:sz w:val="20"/>
                <w:szCs w:val="20"/>
              </w:rPr>
            </w:pPr>
            <w:r>
              <w:rPr>
                <w:rFonts w:asciiTheme="minorHAnsi" w:hAnsiTheme="minorHAnsi" w:cstheme="minorHAnsi"/>
                <w:sz w:val="20"/>
                <w:szCs w:val="20"/>
              </w:rPr>
              <w:lastRenderedPageBreak/>
              <w:t>Develop careers information for KS3 (Ake)</w:t>
            </w:r>
          </w:p>
          <w:p>
            <w:pPr>
              <w:pStyle w:val="NoSpacing"/>
              <w:numPr>
                <w:ilvl w:val="0"/>
                <w:numId w:val="20"/>
              </w:numPr>
              <w:rPr>
                <w:rFonts w:asciiTheme="minorHAnsi" w:hAnsiTheme="minorHAnsi" w:cstheme="minorHAnsi"/>
                <w:sz w:val="20"/>
                <w:szCs w:val="20"/>
              </w:rPr>
            </w:pPr>
            <w:r>
              <w:rPr>
                <w:rFonts w:asciiTheme="minorHAnsi" w:hAnsiTheme="minorHAnsi" w:cstheme="minorHAnsi"/>
                <w:sz w:val="20"/>
                <w:szCs w:val="20"/>
              </w:rPr>
              <w:t>Continue to work towards the Gatsby Benchmarks (Ake/GJA)</w:t>
            </w:r>
          </w:p>
          <w:p>
            <w:pPr>
              <w:pStyle w:val="NoSpacing"/>
              <w:numPr>
                <w:ilvl w:val="0"/>
                <w:numId w:val="20"/>
              </w:numPr>
              <w:rPr>
                <w:rFonts w:asciiTheme="minorHAnsi" w:hAnsiTheme="minorHAnsi" w:cstheme="minorHAnsi"/>
                <w:sz w:val="20"/>
                <w:szCs w:val="20"/>
              </w:rPr>
            </w:pPr>
            <w:r>
              <w:rPr>
                <w:rFonts w:asciiTheme="minorHAnsi" w:hAnsiTheme="minorHAnsi" w:cstheme="minorHAnsi"/>
                <w:sz w:val="20"/>
                <w:szCs w:val="20"/>
              </w:rPr>
              <w:t>Ensure KS4 are prepared for college and work (e.g. mock interviews) (Ake/GJa)</w:t>
            </w:r>
          </w:p>
          <w:p>
            <w:pPr>
              <w:pStyle w:val="NoSpacing"/>
              <w:numPr>
                <w:ilvl w:val="0"/>
                <w:numId w:val="20"/>
              </w:numPr>
              <w:rPr>
                <w:rFonts w:asciiTheme="minorHAnsi" w:hAnsiTheme="minorHAnsi" w:cstheme="minorHAnsi"/>
                <w:sz w:val="20"/>
                <w:szCs w:val="20"/>
              </w:rPr>
            </w:pPr>
            <w:r>
              <w:rPr>
                <w:rFonts w:asciiTheme="minorHAnsi" w:hAnsiTheme="minorHAnsi" w:cstheme="minorHAnsi"/>
                <w:sz w:val="20"/>
                <w:szCs w:val="20"/>
              </w:rPr>
              <w:t>Develop links with local businesses to help support and inspire students (Ake/GJa)</w:t>
            </w:r>
          </w:p>
          <w:p>
            <w:pPr>
              <w:pStyle w:val="NoSpacing"/>
              <w:numPr>
                <w:ilvl w:val="0"/>
                <w:numId w:val="20"/>
              </w:numPr>
              <w:rPr>
                <w:rFonts w:asciiTheme="minorHAnsi" w:hAnsiTheme="minorHAnsi" w:cstheme="minorHAnsi"/>
                <w:sz w:val="20"/>
                <w:szCs w:val="20"/>
              </w:rPr>
            </w:pPr>
            <w:r>
              <w:rPr>
                <w:rFonts w:asciiTheme="minorHAnsi" w:hAnsiTheme="minorHAnsi" w:cstheme="minorHAnsi"/>
                <w:sz w:val="20"/>
                <w:szCs w:val="20"/>
              </w:rPr>
              <w:t>Ensure that fieldwork opportunities, visits and extra-curricular activities are embedded into schemes of work, supporting all disadvantaged and those with SEND (Ake)</w:t>
            </w:r>
          </w:p>
          <w:p>
            <w:pPr>
              <w:pStyle w:val="ListParagraph"/>
              <w:numPr>
                <w:ilvl w:val="0"/>
                <w:numId w:val="20"/>
              </w:numPr>
              <w:suppressAutoHyphens w:val="0"/>
              <w:autoSpaceDN/>
              <w:spacing w:after="0" w:line="20" w:lineRule="atLeast"/>
              <w:rPr>
                <w:rFonts w:cstheme="minorHAnsi"/>
                <w:sz w:val="20"/>
                <w:szCs w:val="20"/>
              </w:rPr>
            </w:pPr>
            <w:r>
              <w:rPr>
                <w:rFonts w:cstheme="minorHAnsi"/>
                <w:sz w:val="20"/>
                <w:szCs w:val="20"/>
              </w:rPr>
              <w:t>Develop student voice (SDu)</w:t>
            </w:r>
          </w:p>
          <w:p>
            <w:pPr>
              <w:pStyle w:val="NoSpacing"/>
              <w:numPr>
                <w:ilvl w:val="0"/>
                <w:numId w:val="20"/>
              </w:numPr>
              <w:rPr>
                <w:rFonts w:asciiTheme="minorHAnsi" w:hAnsiTheme="minorHAnsi" w:cstheme="minorHAnsi"/>
                <w:sz w:val="20"/>
                <w:szCs w:val="20"/>
              </w:rPr>
            </w:pPr>
            <w:r>
              <w:rPr>
                <w:rFonts w:asciiTheme="minorHAnsi" w:hAnsiTheme="minorHAnsi" w:cstheme="minorHAnsi"/>
                <w:sz w:val="20"/>
                <w:szCs w:val="20"/>
              </w:rPr>
              <w:t>Increase focus on British values, raising awareness with staff and students on full understanding of SMSC (JRi)</w:t>
            </w:r>
          </w:p>
          <w:p>
            <w:pPr>
              <w:pStyle w:val="ListParagraph"/>
              <w:numPr>
                <w:ilvl w:val="0"/>
                <w:numId w:val="20"/>
              </w:numPr>
              <w:suppressAutoHyphens w:val="0"/>
              <w:autoSpaceDN/>
              <w:spacing w:after="0" w:line="216" w:lineRule="auto"/>
              <w:rPr>
                <w:rFonts w:cstheme="minorHAnsi"/>
                <w:sz w:val="20"/>
                <w:szCs w:val="20"/>
              </w:rPr>
            </w:pPr>
            <w:r>
              <w:rPr>
                <w:rFonts w:cstheme="minorHAnsi"/>
                <w:sz w:val="20"/>
                <w:szCs w:val="20"/>
              </w:rPr>
              <w:t xml:space="preserve">Develop further positive interactions and organised activities with school police </w:t>
            </w:r>
            <w:r>
              <w:rPr>
                <w:rFonts w:cstheme="minorHAnsi"/>
                <w:sz w:val="20"/>
                <w:szCs w:val="20"/>
              </w:rPr>
              <w:br/>
              <w:t>officer and students (SDu/PMc</w:t>
            </w:r>
          </w:p>
          <w:p>
            <w:pPr>
              <w:pStyle w:val="ListParagraph"/>
              <w:numPr>
                <w:ilvl w:val="0"/>
                <w:numId w:val="20"/>
              </w:numPr>
              <w:suppressAutoHyphens w:val="0"/>
              <w:autoSpaceDN/>
              <w:spacing w:after="0" w:line="240" w:lineRule="auto"/>
              <w:rPr>
                <w:rFonts w:cstheme="minorHAnsi"/>
                <w:sz w:val="20"/>
                <w:szCs w:val="20"/>
              </w:rPr>
            </w:pPr>
            <w:r>
              <w:rPr>
                <w:rFonts w:cstheme="minorHAnsi"/>
                <w:sz w:val="20"/>
                <w:szCs w:val="20"/>
              </w:rPr>
              <w:t>Raise mental health awareness and advertise support systems to students (JRi)</w:t>
            </w:r>
          </w:p>
          <w:p>
            <w:pPr>
              <w:pStyle w:val="ListParagraph"/>
              <w:numPr>
                <w:ilvl w:val="0"/>
                <w:numId w:val="20"/>
              </w:numPr>
              <w:suppressAutoHyphens w:val="0"/>
              <w:autoSpaceDN/>
              <w:spacing w:after="0" w:line="240" w:lineRule="auto"/>
              <w:rPr>
                <w:rFonts w:cstheme="minorHAnsi"/>
                <w:sz w:val="20"/>
                <w:szCs w:val="20"/>
              </w:rPr>
            </w:pPr>
            <w:r>
              <w:rPr>
                <w:rFonts w:cstheme="minorHAnsi"/>
                <w:sz w:val="20"/>
                <w:szCs w:val="20"/>
              </w:rPr>
              <w:t xml:space="preserve">Staff training in various areas of </w:t>
            </w:r>
            <w:r>
              <w:rPr>
                <w:rFonts w:cstheme="minorHAnsi"/>
                <w:sz w:val="20"/>
                <w:szCs w:val="20"/>
              </w:rPr>
              <w:br/>
              <w:t>positive language for behaviour and learning (SDu)</w:t>
            </w:r>
          </w:p>
          <w:p>
            <w:pPr>
              <w:pStyle w:val="ListParagraph"/>
              <w:numPr>
                <w:ilvl w:val="0"/>
                <w:numId w:val="20"/>
              </w:numPr>
              <w:suppressAutoHyphens w:val="0"/>
              <w:autoSpaceDN/>
              <w:spacing w:after="0" w:line="240" w:lineRule="auto"/>
              <w:rPr>
                <w:rFonts w:cstheme="minorHAnsi"/>
                <w:sz w:val="20"/>
                <w:szCs w:val="20"/>
              </w:rPr>
            </w:pPr>
            <w:r>
              <w:rPr>
                <w:rFonts w:cstheme="minorHAnsi"/>
                <w:sz w:val="20"/>
                <w:szCs w:val="20"/>
              </w:rPr>
              <w:t>Provide HoF with Class charts behaviour reports for the QA meetings with SLT links</w:t>
            </w:r>
          </w:p>
          <w:p>
            <w:pPr>
              <w:pStyle w:val="ListParagraph"/>
              <w:numPr>
                <w:ilvl w:val="0"/>
                <w:numId w:val="20"/>
              </w:numPr>
              <w:suppressAutoHyphens w:val="0"/>
              <w:autoSpaceDN/>
              <w:spacing w:after="0" w:line="240" w:lineRule="auto"/>
              <w:rPr>
                <w:rFonts w:cstheme="minorHAnsi"/>
                <w:sz w:val="20"/>
                <w:szCs w:val="20"/>
              </w:rPr>
            </w:pPr>
            <w:r>
              <w:rPr>
                <w:rFonts w:cstheme="minorHAnsi"/>
                <w:sz w:val="20"/>
                <w:szCs w:val="20"/>
              </w:rPr>
              <w:t>Youth Engagement Officer to provide extra support for disengaged disadvantaged boys starting as soon as they choose KHS before they arrive in year 7 (Ado/TBA)</w:t>
            </w:r>
          </w:p>
          <w:p>
            <w:pPr>
              <w:pStyle w:val="ListParagraph"/>
              <w:numPr>
                <w:ilvl w:val="0"/>
                <w:numId w:val="20"/>
              </w:numPr>
              <w:suppressAutoHyphens w:val="0"/>
              <w:autoSpaceDN/>
              <w:spacing w:after="160" w:line="259" w:lineRule="auto"/>
              <w:rPr>
                <w:rFonts w:cstheme="minorHAnsi"/>
                <w:sz w:val="20"/>
                <w:szCs w:val="20"/>
              </w:rPr>
            </w:pPr>
            <w:r>
              <w:rPr>
                <w:rFonts w:cstheme="minorHAnsi"/>
                <w:sz w:val="20"/>
                <w:szCs w:val="20"/>
              </w:rPr>
              <w:lastRenderedPageBreak/>
              <w:t>KHS Transition strategy developed and implemented including smoother transition for students to build relationships during Forrest schools (Ado)</w:t>
            </w:r>
          </w:p>
          <w:p>
            <w:pPr>
              <w:pStyle w:val="ListParagraph"/>
              <w:numPr>
                <w:ilvl w:val="0"/>
                <w:numId w:val="20"/>
              </w:numPr>
              <w:suppressAutoHyphens w:val="0"/>
              <w:autoSpaceDN/>
              <w:spacing w:after="160" w:line="259" w:lineRule="auto"/>
              <w:rPr>
                <w:rFonts w:cstheme="minorHAnsi"/>
                <w:sz w:val="20"/>
                <w:szCs w:val="20"/>
              </w:rPr>
            </w:pPr>
            <w:r>
              <w:rPr>
                <w:rFonts w:cstheme="minorHAnsi"/>
                <w:sz w:val="20"/>
                <w:szCs w:val="20"/>
              </w:rPr>
              <w:t>External agencies to be used PSHE  to prevent key issues arising for example knife crime, drugs and gangs (JRi)</w:t>
            </w:r>
          </w:p>
          <w:p>
            <w:pPr>
              <w:pStyle w:val="ListParagraph"/>
              <w:numPr>
                <w:ilvl w:val="0"/>
                <w:numId w:val="20"/>
              </w:numPr>
              <w:suppressAutoHyphens w:val="0"/>
              <w:autoSpaceDN/>
              <w:spacing w:after="160" w:line="259" w:lineRule="auto"/>
              <w:rPr>
                <w:rFonts w:cstheme="minorHAnsi"/>
                <w:sz w:val="20"/>
                <w:szCs w:val="20"/>
              </w:rPr>
            </w:pPr>
            <w:r>
              <w:rPr>
                <w:rFonts w:cstheme="minorHAnsi"/>
                <w:sz w:val="20"/>
                <w:szCs w:val="20"/>
              </w:rPr>
              <w:t>Positive behaviour reward system to be implemented by Pastoral Assistant Headteacher (SDu)</w:t>
            </w:r>
          </w:p>
          <w:p>
            <w:pPr>
              <w:pStyle w:val="ListParagraph"/>
              <w:numPr>
                <w:ilvl w:val="0"/>
                <w:numId w:val="20"/>
              </w:numPr>
              <w:suppressAutoHyphens w:val="0"/>
              <w:autoSpaceDN/>
              <w:spacing w:after="160" w:line="259" w:lineRule="auto"/>
              <w:rPr>
                <w:rFonts w:cstheme="minorHAnsi"/>
                <w:sz w:val="20"/>
                <w:szCs w:val="20"/>
              </w:rPr>
            </w:pPr>
            <w:r>
              <w:rPr>
                <w:rFonts w:cstheme="minorHAnsi"/>
                <w:sz w:val="20"/>
                <w:szCs w:val="20"/>
              </w:rPr>
              <w:t>Appointed a CIAG coordinator to raise aspirations of students when planning their future (GJa/Ake)</w:t>
            </w:r>
          </w:p>
          <w:p>
            <w:pPr>
              <w:pStyle w:val="ListParagraph"/>
              <w:numPr>
                <w:ilvl w:val="0"/>
                <w:numId w:val="20"/>
              </w:numPr>
              <w:suppressAutoHyphens w:val="0"/>
              <w:autoSpaceDN/>
              <w:spacing w:after="160" w:line="259" w:lineRule="auto"/>
              <w:rPr>
                <w:rFonts w:cstheme="minorHAnsi"/>
                <w:sz w:val="20"/>
                <w:szCs w:val="20"/>
              </w:rPr>
            </w:pPr>
            <w:r>
              <w:rPr>
                <w:rFonts w:cstheme="minorHAnsi"/>
                <w:sz w:val="20"/>
                <w:szCs w:val="20"/>
              </w:rPr>
              <w:t xml:space="preserve">Progress tracking and safeguarding of AP (JRi). </w:t>
            </w:r>
          </w:p>
          <w:p>
            <w:pPr>
              <w:pStyle w:val="ListParagraph"/>
              <w:numPr>
                <w:ilvl w:val="0"/>
                <w:numId w:val="20"/>
              </w:numPr>
              <w:suppressAutoHyphens w:val="0"/>
              <w:autoSpaceDN/>
              <w:spacing w:after="160" w:line="259" w:lineRule="auto"/>
              <w:rPr>
                <w:rFonts w:cstheme="minorHAnsi"/>
                <w:sz w:val="20"/>
                <w:szCs w:val="20"/>
              </w:rPr>
            </w:pPr>
            <w:r>
              <w:rPr>
                <w:rFonts w:cstheme="minorHAnsi"/>
                <w:sz w:val="20"/>
                <w:szCs w:val="20"/>
              </w:rPr>
              <w:t>Appointment of person in charge of AP tracking (JRi)</w:t>
            </w:r>
          </w:p>
          <w:p>
            <w:pPr>
              <w:pStyle w:val="ListParagraph"/>
              <w:numPr>
                <w:ilvl w:val="0"/>
                <w:numId w:val="20"/>
              </w:numPr>
              <w:suppressAutoHyphens w:val="0"/>
              <w:autoSpaceDN/>
              <w:spacing w:after="160" w:line="259" w:lineRule="auto"/>
              <w:rPr>
                <w:rFonts w:cstheme="minorHAnsi"/>
                <w:sz w:val="20"/>
                <w:szCs w:val="20"/>
              </w:rPr>
            </w:pPr>
            <w:r>
              <w:rPr>
                <w:rFonts w:eastAsia="Calibri" w:cstheme="minorHAnsi"/>
                <w:sz w:val="20"/>
                <w:szCs w:val="20"/>
              </w:rPr>
              <w:t>Early identification of CLA at primary liaison.  Liaise with primary schools, social care, foster carers and meet child(JRi, KHu)</w:t>
            </w:r>
          </w:p>
          <w:p>
            <w:pPr>
              <w:pStyle w:val="ListParagraph"/>
              <w:numPr>
                <w:ilvl w:val="0"/>
                <w:numId w:val="20"/>
              </w:numPr>
              <w:suppressAutoHyphens w:val="0"/>
              <w:autoSpaceDN/>
              <w:spacing w:after="160" w:line="259" w:lineRule="auto"/>
              <w:rPr>
                <w:rFonts w:cstheme="minorHAnsi"/>
                <w:sz w:val="20"/>
                <w:szCs w:val="20"/>
              </w:rPr>
            </w:pPr>
            <w:r>
              <w:rPr>
                <w:rFonts w:eastAsia="Calibri" w:cstheme="minorHAnsi"/>
                <w:sz w:val="20"/>
                <w:szCs w:val="20"/>
              </w:rPr>
              <w:t>Provide CLA with link to appropriate members of staff for emotional support, academic support and mentor(JRi, KHu)</w:t>
            </w:r>
          </w:p>
          <w:p>
            <w:pPr>
              <w:pStyle w:val="ListParagraph"/>
              <w:numPr>
                <w:ilvl w:val="0"/>
                <w:numId w:val="20"/>
              </w:numPr>
              <w:suppressAutoHyphens w:val="0"/>
              <w:autoSpaceDN/>
              <w:spacing w:after="160" w:line="259" w:lineRule="auto"/>
              <w:rPr>
                <w:rFonts w:cstheme="minorHAnsi"/>
                <w:sz w:val="20"/>
                <w:szCs w:val="20"/>
              </w:rPr>
            </w:pPr>
            <w:r>
              <w:rPr>
                <w:rFonts w:eastAsia="Calibri" w:cstheme="minorHAnsi"/>
                <w:sz w:val="20"/>
                <w:szCs w:val="20"/>
              </w:rPr>
              <w:t>Ensure quick response to absenteeism.  Highlight with attendance team.  Ensure engaging curriculum and activities (JRi, KHu)</w:t>
            </w:r>
          </w:p>
          <w:p>
            <w:pPr>
              <w:pStyle w:val="ListParagraph"/>
              <w:numPr>
                <w:ilvl w:val="0"/>
                <w:numId w:val="21"/>
              </w:numPr>
              <w:suppressAutoHyphens w:val="0"/>
              <w:autoSpaceDN/>
              <w:spacing w:after="0" w:line="240" w:lineRule="auto"/>
              <w:rPr>
                <w:rFonts w:eastAsia="Calibri" w:cstheme="minorHAnsi"/>
                <w:sz w:val="20"/>
                <w:szCs w:val="20"/>
              </w:rPr>
            </w:pPr>
            <w:r>
              <w:rPr>
                <w:rFonts w:eastAsia="Calibri" w:cstheme="minorHAnsi"/>
                <w:sz w:val="20"/>
                <w:szCs w:val="20"/>
              </w:rPr>
              <w:t>Mentoring sessions should include short and long term personal planning with CLA.  Support pathway to success (JWh, KHu)</w:t>
            </w:r>
          </w:p>
          <w:p>
            <w:pPr>
              <w:pStyle w:val="ListParagraph"/>
              <w:numPr>
                <w:ilvl w:val="0"/>
                <w:numId w:val="20"/>
              </w:numPr>
              <w:tabs>
                <w:tab w:val="left" w:pos="1593"/>
              </w:tabs>
              <w:suppressAutoHyphens w:val="0"/>
              <w:autoSpaceDN/>
              <w:spacing w:after="0" w:line="240" w:lineRule="auto"/>
              <w:rPr>
                <w:rFonts w:cstheme="minorHAnsi"/>
                <w:b/>
                <w:sz w:val="20"/>
                <w:szCs w:val="20"/>
              </w:rPr>
            </w:pPr>
            <w:r>
              <w:rPr>
                <w:rFonts w:cstheme="minorHAnsi"/>
                <w:sz w:val="20"/>
                <w:szCs w:val="20"/>
              </w:rPr>
              <w:lastRenderedPageBreak/>
              <w:t xml:space="preserve">Develop further the options process to ensure careers advice and events are </w:t>
            </w:r>
            <w:r>
              <w:rPr>
                <w:rFonts w:cstheme="minorHAnsi"/>
                <w:sz w:val="20"/>
                <w:szCs w:val="20"/>
              </w:rPr>
              <w:br/>
              <w:t>offered to students at KS3 (especially year 9 students when leading up to choosing their options) in order to guide and direct them appropriately when choosing option subjects (Ake)</w:t>
            </w:r>
          </w:p>
          <w:p>
            <w:pPr>
              <w:pStyle w:val="ListParagraph"/>
              <w:numPr>
                <w:ilvl w:val="0"/>
                <w:numId w:val="20"/>
              </w:numPr>
              <w:suppressAutoHyphens w:val="0"/>
              <w:autoSpaceDN/>
              <w:spacing w:after="0" w:line="240" w:lineRule="auto"/>
              <w:rPr>
                <w:rFonts w:cstheme="minorHAnsi"/>
                <w:sz w:val="20"/>
                <w:szCs w:val="20"/>
              </w:rPr>
            </w:pPr>
            <w:r>
              <w:rPr>
                <w:rFonts w:cstheme="minorHAnsi"/>
                <w:sz w:val="20"/>
                <w:szCs w:val="20"/>
              </w:rPr>
              <w:t>Improve the effectiveness of pastoral pro-active intervention for students at risk of exclusion(PMc/SDu)</w:t>
            </w:r>
          </w:p>
          <w:p>
            <w:pPr>
              <w:rPr>
                <w:rFonts w:cstheme="minorHAnsi"/>
                <w:sz w:val="20"/>
                <w:szCs w:val="20"/>
              </w:rPr>
            </w:pPr>
          </w:p>
        </w:tc>
        <w:tc>
          <w:tcPr>
            <w:tcW w:w="1700" w:type="dxa"/>
            <w:tcBorders>
              <w:right w:val="single" w:sz="4" w:space="0" w:color="000000"/>
            </w:tcBorders>
            <w:shd w:val="clear" w:color="auto" w:fill="auto"/>
          </w:tcPr>
          <w:p>
            <w:pPr>
              <w:rPr>
                <w:rFonts w:cstheme="minorHAnsi"/>
                <w:b/>
                <w:sz w:val="20"/>
                <w:szCs w:val="20"/>
              </w:rPr>
            </w:pPr>
            <w:r>
              <w:rPr>
                <w:rFonts w:cstheme="minorHAnsi"/>
                <w:sz w:val="20"/>
                <w:szCs w:val="20"/>
              </w:rPr>
              <w:lastRenderedPageBreak/>
              <w:t xml:space="preserve"> </w:t>
            </w:r>
            <w:r>
              <w:rPr>
                <w:rFonts w:cstheme="minorHAnsi"/>
                <w:b/>
                <w:color w:val="000000" w:themeColor="text1"/>
                <w:sz w:val="20"/>
                <w:szCs w:val="20"/>
              </w:rPr>
              <w:t>Raise aspirations of disadvantaged students, LAC and parents to promote engagement, eagerness to learn and increase</w:t>
            </w:r>
            <w:r>
              <w:rPr>
                <w:rFonts w:cstheme="minorHAnsi"/>
                <w:b/>
                <w:sz w:val="20"/>
                <w:szCs w:val="20"/>
              </w:rPr>
              <w:t xml:space="preserve"> opportunities to develop student “cultural capital” with creative experiences relevant to their development stage, community, and social expectations.  </w:t>
            </w:r>
          </w:p>
          <w:p>
            <w:pPr>
              <w:rPr>
                <w:rFonts w:cstheme="minorHAnsi"/>
                <w:sz w:val="20"/>
                <w:szCs w:val="20"/>
              </w:rPr>
            </w:pPr>
          </w:p>
          <w:p>
            <w:pPr>
              <w:autoSpaceDE w:val="0"/>
              <w:autoSpaceDN w:val="0"/>
              <w:adjustRightInd w:val="0"/>
              <w:rPr>
                <w:rFonts w:cstheme="minorHAnsi"/>
                <w:sz w:val="20"/>
                <w:szCs w:val="20"/>
              </w:rPr>
            </w:pPr>
            <w:r>
              <w:rPr>
                <w:rFonts w:cstheme="minorHAnsi"/>
                <w:sz w:val="20"/>
                <w:szCs w:val="20"/>
              </w:rPr>
              <w:t>Lesson observations and book scrutinies show an improved ATL (AD)</w:t>
            </w:r>
          </w:p>
          <w:p>
            <w:pPr>
              <w:autoSpaceDE w:val="0"/>
              <w:autoSpaceDN w:val="0"/>
              <w:adjustRightInd w:val="0"/>
              <w:rPr>
                <w:rFonts w:cstheme="minorHAnsi"/>
                <w:sz w:val="20"/>
                <w:szCs w:val="20"/>
              </w:rPr>
            </w:pPr>
            <w:r>
              <w:rPr>
                <w:rFonts w:cstheme="minorHAnsi"/>
                <w:sz w:val="20"/>
                <w:szCs w:val="20"/>
              </w:rPr>
              <w:t>Percentage NEET to be 0%</w:t>
            </w:r>
          </w:p>
          <w:p>
            <w:pPr>
              <w:rPr>
                <w:rFonts w:cstheme="minorHAnsi"/>
                <w:sz w:val="20"/>
                <w:szCs w:val="20"/>
              </w:rPr>
            </w:pPr>
            <w:r>
              <w:rPr>
                <w:rFonts w:cstheme="minorHAnsi"/>
                <w:sz w:val="20"/>
                <w:szCs w:val="20"/>
              </w:rPr>
              <w:t>Number PP exclusions reduced</w:t>
            </w:r>
          </w:p>
          <w:p>
            <w:pPr>
              <w:rPr>
                <w:rFonts w:cstheme="minorHAnsi"/>
                <w:sz w:val="20"/>
                <w:szCs w:val="20"/>
              </w:rPr>
            </w:pPr>
            <w:r>
              <w:rPr>
                <w:rFonts w:cstheme="minorHAnsi"/>
                <w:sz w:val="20"/>
                <w:szCs w:val="20"/>
              </w:rPr>
              <w:t>By 10%</w:t>
            </w:r>
          </w:p>
          <w:p>
            <w:pPr>
              <w:rPr>
                <w:rFonts w:cstheme="minorHAnsi"/>
                <w:sz w:val="20"/>
                <w:szCs w:val="20"/>
              </w:rPr>
            </w:pPr>
          </w:p>
          <w:p>
            <w:pPr>
              <w:rPr>
                <w:rFonts w:cstheme="minorHAnsi"/>
                <w:sz w:val="20"/>
                <w:szCs w:val="20"/>
              </w:rPr>
            </w:pPr>
          </w:p>
          <w:p>
            <w:pPr>
              <w:rPr>
                <w:rFonts w:cstheme="minorHAnsi"/>
                <w:sz w:val="20"/>
                <w:szCs w:val="20"/>
              </w:rPr>
            </w:pPr>
          </w:p>
          <w:p>
            <w:pPr>
              <w:rPr>
                <w:rFonts w:cstheme="minorHAnsi"/>
                <w:sz w:val="20"/>
                <w:szCs w:val="20"/>
              </w:rPr>
            </w:pPr>
          </w:p>
          <w:p>
            <w:pPr>
              <w:rPr>
                <w:rFonts w:cstheme="minorHAnsi"/>
                <w:sz w:val="20"/>
                <w:szCs w:val="20"/>
              </w:rPr>
            </w:pPr>
          </w:p>
          <w:p>
            <w:pPr>
              <w:rPr>
                <w:rFonts w:cstheme="minorHAnsi"/>
                <w:sz w:val="20"/>
                <w:szCs w:val="20"/>
              </w:rPr>
            </w:pPr>
            <w:r>
              <w:rPr>
                <w:rFonts w:cstheme="minorHAnsi"/>
                <w:sz w:val="20"/>
                <w:szCs w:val="20"/>
              </w:rPr>
              <w:t xml:space="preserve">Number of  PP Isolations reducing </w:t>
            </w:r>
          </w:p>
          <w:p>
            <w:pPr>
              <w:rPr>
                <w:rFonts w:cstheme="minorHAnsi"/>
                <w:sz w:val="20"/>
                <w:szCs w:val="20"/>
              </w:rPr>
            </w:pPr>
          </w:p>
          <w:p>
            <w:pPr>
              <w:rPr>
                <w:rFonts w:cstheme="minorHAnsi"/>
                <w:sz w:val="20"/>
                <w:szCs w:val="20"/>
              </w:rPr>
            </w:pPr>
          </w:p>
          <w:p>
            <w:pPr>
              <w:rPr>
                <w:rFonts w:cstheme="minorHAnsi"/>
                <w:sz w:val="20"/>
                <w:szCs w:val="20"/>
              </w:rPr>
            </w:pPr>
            <w:r>
              <w:rPr>
                <w:rFonts w:cstheme="minorHAnsi"/>
                <w:sz w:val="20"/>
                <w:szCs w:val="20"/>
              </w:rPr>
              <w:t xml:space="preserve">% of students attending FE increased </w:t>
            </w:r>
          </w:p>
          <w:p>
            <w:pPr>
              <w:rPr>
                <w:rFonts w:cstheme="minorHAnsi"/>
                <w:sz w:val="20"/>
                <w:szCs w:val="20"/>
              </w:rPr>
            </w:pPr>
          </w:p>
        </w:tc>
        <w:tc>
          <w:tcPr>
            <w:tcW w:w="2977" w:type="dxa"/>
            <w:tcBorders>
              <w:right w:val="single" w:sz="4" w:space="0" w:color="000000"/>
            </w:tcBorders>
            <w:shd w:val="clear" w:color="auto" w:fill="auto"/>
          </w:tcPr>
          <w:p>
            <w:pPr>
              <w:rPr>
                <w:lang w:eastAsia="en-GB"/>
              </w:rPr>
            </w:pPr>
          </w:p>
          <w:p>
            <w:pPr>
              <w:rPr>
                <w:lang w:eastAsia="en-GB"/>
              </w:rPr>
            </w:pPr>
          </w:p>
          <w:p>
            <w:pPr>
              <w:rPr>
                <w:lang w:eastAsia="en-GB"/>
              </w:rPr>
            </w:pPr>
          </w:p>
          <w:p>
            <w:pPr>
              <w:rPr>
                <w:lang w:eastAsia="en-GB"/>
              </w:rPr>
            </w:pPr>
            <w:r>
              <w:rPr>
                <w:lang w:eastAsia="en-GB"/>
              </w:rPr>
              <w:t>% of exclusions that are disadvantaged students has reduced by 11.1% from 19-20 to 20-21</w:t>
            </w:r>
          </w:p>
          <w:p>
            <w:pPr>
              <w:rPr>
                <w:lang w:eastAsia="en-GB"/>
              </w:rPr>
            </w:pPr>
          </w:p>
          <w:p>
            <w:pPr>
              <w:rPr>
                <w:lang w:eastAsia="en-GB"/>
              </w:rPr>
            </w:pPr>
          </w:p>
          <w:p>
            <w:pPr>
              <w:rPr>
                <w:lang w:eastAsia="en-GB"/>
              </w:rPr>
            </w:pPr>
            <w:r>
              <w:rPr>
                <w:lang w:eastAsia="en-GB"/>
              </w:rPr>
              <w:t xml:space="preserve">% of students who are in education and employment for 2020-2021 is 98.4%. </w:t>
            </w:r>
          </w:p>
          <w:p>
            <w:pPr>
              <w:rPr>
                <w:lang w:eastAsia="en-GB"/>
              </w:rPr>
            </w:pPr>
          </w:p>
          <w:p>
            <w:pPr>
              <w:rPr>
                <w:lang w:eastAsia="en-GB"/>
              </w:rPr>
            </w:pPr>
          </w:p>
          <w:p>
            <w:pPr>
              <w:rPr>
                <w:lang w:eastAsia="en-GB"/>
              </w:rPr>
            </w:pPr>
          </w:p>
          <w:p>
            <w:pPr>
              <w:rPr>
                <w:lang w:eastAsia="en-GB"/>
              </w:rPr>
            </w:pPr>
            <w:r>
              <w:rPr>
                <w:lang w:eastAsia="en-GB"/>
              </w:rPr>
              <w:t>PP students now have 97%positve behaviour points. This is an increase from  last year where 95% were positive</w:t>
            </w:r>
          </w:p>
          <w:p>
            <w:pPr>
              <w:rPr>
                <w:lang w:eastAsia="en-GB"/>
              </w:rPr>
            </w:pPr>
          </w:p>
          <w:p>
            <w:pPr>
              <w:rPr>
                <w:lang w:eastAsia="en-GB"/>
              </w:rPr>
            </w:pPr>
            <w:r>
              <w:rPr>
                <w:lang w:eastAsia="en-GB"/>
              </w:rPr>
              <w:t>Proportion of Ebacc entries more than doubled due to the developments of the option process.</w:t>
            </w:r>
          </w:p>
        </w:tc>
        <w:tc>
          <w:tcPr>
            <w:tcW w:w="2977" w:type="dxa"/>
            <w:tcBorders>
              <w:right w:val="single" w:sz="4" w:space="0" w:color="000000"/>
            </w:tcBorders>
            <w:shd w:val="clear" w:color="auto" w:fill="auto"/>
          </w:tcPr>
          <w:p>
            <w:pPr>
              <w:pStyle w:val="TableRowCentered"/>
              <w:ind w:left="0"/>
              <w:jc w:val="left"/>
              <w:rPr>
                <w:sz w:val="20"/>
              </w:rPr>
            </w:pPr>
            <w:r>
              <w:rPr>
                <w:sz w:val="20"/>
              </w:rPr>
              <w:t>Exclusions of PP students as reduce by more than 10%. This will still be a focus for next year.</w:t>
            </w: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r>
              <w:rPr>
                <w:lang w:eastAsia="en-GB"/>
              </w:rPr>
              <w:t>The target for this in 2021-2022 is 100%</w:t>
            </w:r>
          </w:p>
          <w:p>
            <w:pPr>
              <w:rPr>
                <w:lang w:eastAsia="en-GB"/>
              </w:rPr>
            </w:pPr>
          </w:p>
          <w:p>
            <w:pPr>
              <w:rPr>
                <w:lang w:eastAsia="en-GB"/>
              </w:rPr>
            </w:pPr>
          </w:p>
          <w:p>
            <w:pPr>
              <w:rPr>
                <w:lang w:eastAsia="en-GB"/>
              </w:rPr>
            </w:pPr>
          </w:p>
          <w:p>
            <w:pPr>
              <w:rPr>
                <w:lang w:eastAsia="en-GB"/>
              </w:rPr>
            </w:pPr>
          </w:p>
          <w:p>
            <w:pPr>
              <w:rPr>
                <w:lang w:eastAsia="en-GB"/>
              </w:rPr>
            </w:pPr>
            <w:r>
              <w:rPr>
                <w:lang w:eastAsia="en-GB"/>
              </w:rPr>
              <w:t>Improve this further so PP students are at least in line with non pp at 97%.</w:t>
            </w:r>
          </w:p>
          <w:p>
            <w:pPr>
              <w:rPr>
                <w:lang w:eastAsia="en-GB"/>
              </w:rPr>
            </w:pPr>
          </w:p>
          <w:p>
            <w:pPr>
              <w:rPr>
                <w:lang w:eastAsia="en-GB"/>
              </w:rPr>
            </w:pPr>
          </w:p>
          <w:p>
            <w:pPr>
              <w:rPr>
                <w:lang w:eastAsia="en-GB"/>
              </w:rPr>
            </w:pPr>
            <w:r>
              <w:rPr>
                <w:lang w:eastAsia="en-GB"/>
              </w:rPr>
              <w:t>Further develop to ensure more disadvantaged students have the opportunity to study Ebacc qualifications</w:t>
            </w:r>
          </w:p>
        </w:tc>
        <w:tc>
          <w:tcPr>
            <w:tcW w:w="2977" w:type="dxa"/>
          </w:tcPr>
          <w:p>
            <w:pPr>
              <w:ind w:left="42"/>
              <w:rPr>
                <w:rFonts w:cstheme="minorHAnsi"/>
                <w:sz w:val="20"/>
                <w:szCs w:val="20"/>
              </w:rPr>
            </w:pPr>
          </w:p>
          <w:p>
            <w:pPr>
              <w:ind w:left="42"/>
              <w:rPr>
                <w:rFonts w:cstheme="minorHAnsi"/>
                <w:sz w:val="20"/>
                <w:szCs w:val="20"/>
              </w:rPr>
            </w:pPr>
            <w:r>
              <w:rPr>
                <w:rFonts w:cstheme="minorHAnsi"/>
                <w:sz w:val="20"/>
                <w:szCs w:val="20"/>
              </w:rPr>
              <w:t>Careers Connect</w:t>
            </w:r>
          </w:p>
          <w:p>
            <w:pPr>
              <w:ind w:left="42"/>
              <w:rPr>
                <w:rFonts w:cstheme="minorHAnsi"/>
                <w:sz w:val="20"/>
                <w:szCs w:val="20"/>
              </w:rPr>
            </w:pPr>
            <w:r>
              <w:rPr>
                <w:rFonts w:cstheme="minorHAnsi"/>
                <w:sz w:val="20"/>
                <w:szCs w:val="20"/>
              </w:rPr>
              <w:t>£4,725</w:t>
            </w:r>
          </w:p>
          <w:p>
            <w:pPr>
              <w:autoSpaceDE w:val="0"/>
              <w:autoSpaceDN w:val="0"/>
              <w:adjustRightInd w:val="0"/>
              <w:rPr>
                <w:rFonts w:cstheme="minorHAnsi"/>
                <w:sz w:val="20"/>
                <w:szCs w:val="20"/>
              </w:rPr>
            </w:pPr>
          </w:p>
          <w:p>
            <w:pPr>
              <w:rPr>
                <w:rFonts w:cstheme="minorHAnsi"/>
                <w:sz w:val="20"/>
                <w:szCs w:val="20"/>
              </w:rPr>
            </w:pPr>
            <w:r>
              <w:rPr>
                <w:rFonts w:cstheme="minorHAnsi"/>
                <w:sz w:val="20"/>
                <w:szCs w:val="20"/>
              </w:rPr>
              <w:t>Proportion of AHT time (on confidential strategy)</w:t>
            </w:r>
          </w:p>
          <w:p>
            <w:pPr>
              <w:autoSpaceDE w:val="0"/>
              <w:autoSpaceDN w:val="0"/>
              <w:adjustRightInd w:val="0"/>
              <w:rPr>
                <w:rFonts w:cstheme="minorHAnsi"/>
                <w:sz w:val="20"/>
                <w:szCs w:val="20"/>
              </w:rPr>
            </w:pPr>
          </w:p>
          <w:p>
            <w:pPr>
              <w:autoSpaceDE w:val="0"/>
              <w:autoSpaceDN w:val="0"/>
              <w:adjustRightInd w:val="0"/>
              <w:rPr>
                <w:rFonts w:cstheme="minorHAnsi"/>
                <w:sz w:val="20"/>
                <w:szCs w:val="20"/>
              </w:rPr>
            </w:pPr>
          </w:p>
          <w:p>
            <w:pPr>
              <w:rPr>
                <w:rFonts w:cstheme="minorHAnsi"/>
                <w:sz w:val="20"/>
                <w:szCs w:val="20"/>
              </w:rPr>
            </w:pPr>
            <w:r>
              <w:rPr>
                <w:rFonts w:cstheme="minorHAnsi"/>
                <w:sz w:val="20"/>
                <w:szCs w:val="20"/>
              </w:rPr>
              <w:t>Care centre staff £13,616.52</w:t>
            </w:r>
          </w:p>
          <w:p>
            <w:pPr>
              <w:rPr>
                <w:rFonts w:cstheme="minorHAnsi"/>
                <w:sz w:val="20"/>
                <w:szCs w:val="20"/>
              </w:rPr>
            </w:pPr>
          </w:p>
          <w:p>
            <w:pPr>
              <w:rPr>
                <w:rFonts w:cstheme="minorHAnsi"/>
                <w:sz w:val="20"/>
                <w:szCs w:val="20"/>
              </w:rPr>
            </w:pPr>
            <w:r>
              <w:rPr>
                <w:rFonts w:cstheme="minorHAnsi"/>
                <w:sz w:val="20"/>
                <w:szCs w:val="20"/>
              </w:rPr>
              <w:t>CIAG Coordinator</w:t>
            </w:r>
          </w:p>
          <w:p>
            <w:pPr>
              <w:rPr>
                <w:rFonts w:cstheme="minorHAnsi"/>
                <w:sz w:val="20"/>
                <w:szCs w:val="20"/>
              </w:rPr>
            </w:pPr>
            <w:r>
              <w:rPr>
                <w:rFonts w:cstheme="minorHAnsi"/>
                <w:sz w:val="20"/>
                <w:szCs w:val="20"/>
              </w:rPr>
              <w:t>(on confidential strategy)</w:t>
            </w:r>
          </w:p>
          <w:p>
            <w:pPr>
              <w:rPr>
                <w:rFonts w:cstheme="minorHAnsi"/>
                <w:sz w:val="20"/>
                <w:szCs w:val="20"/>
              </w:rPr>
            </w:pPr>
            <w:r>
              <w:rPr>
                <w:rFonts w:cstheme="minorHAnsi"/>
                <w:sz w:val="20"/>
                <w:szCs w:val="20"/>
              </w:rPr>
              <w:t>Youth Engagement Officer (on confidential strategy)</w:t>
            </w:r>
          </w:p>
          <w:p>
            <w:pPr>
              <w:rPr>
                <w:rFonts w:cstheme="minorHAnsi"/>
                <w:sz w:val="20"/>
                <w:szCs w:val="20"/>
              </w:rPr>
            </w:pPr>
          </w:p>
          <w:p>
            <w:pPr>
              <w:rPr>
                <w:rFonts w:cstheme="minorHAnsi"/>
                <w:sz w:val="20"/>
                <w:szCs w:val="20"/>
              </w:rPr>
            </w:pPr>
          </w:p>
          <w:p>
            <w:pPr>
              <w:rPr>
                <w:rFonts w:cstheme="minorHAnsi"/>
                <w:sz w:val="20"/>
                <w:szCs w:val="20"/>
              </w:rPr>
            </w:pPr>
            <w:r>
              <w:rPr>
                <w:rFonts w:cstheme="minorHAnsi"/>
                <w:sz w:val="20"/>
                <w:szCs w:val="20"/>
              </w:rPr>
              <w:t>ATL Rewards</w:t>
            </w:r>
          </w:p>
          <w:p>
            <w:pPr>
              <w:rPr>
                <w:rFonts w:cstheme="minorHAnsi"/>
                <w:sz w:val="20"/>
                <w:szCs w:val="20"/>
              </w:rPr>
            </w:pPr>
            <w:r>
              <w:rPr>
                <w:rFonts w:cstheme="minorHAnsi"/>
                <w:sz w:val="20"/>
                <w:szCs w:val="20"/>
              </w:rPr>
              <w:t>(as above)</w:t>
            </w:r>
          </w:p>
          <w:p>
            <w:pPr>
              <w:rPr>
                <w:rFonts w:cstheme="minorHAnsi"/>
                <w:sz w:val="20"/>
                <w:szCs w:val="20"/>
              </w:rPr>
            </w:pPr>
            <w:r>
              <w:rPr>
                <w:rFonts w:cstheme="minorHAnsi"/>
                <w:sz w:val="20"/>
                <w:szCs w:val="20"/>
              </w:rPr>
              <w:t>Parents evening refreshments £1,800</w:t>
            </w:r>
          </w:p>
          <w:p>
            <w:pPr>
              <w:rPr>
                <w:rFonts w:cstheme="minorHAnsi"/>
                <w:sz w:val="20"/>
                <w:szCs w:val="20"/>
              </w:rPr>
            </w:pPr>
          </w:p>
          <w:p>
            <w:pPr>
              <w:rPr>
                <w:rFonts w:cstheme="minorHAnsi"/>
                <w:sz w:val="20"/>
                <w:szCs w:val="20"/>
              </w:rPr>
            </w:pPr>
          </w:p>
          <w:p>
            <w:pPr>
              <w:rPr>
                <w:rFonts w:cstheme="minorHAnsi"/>
                <w:sz w:val="20"/>
                <w:szCs w:val="20"/>
              </w:rPr>
            </w:pPr>
            <w:r>
              <w:rPr>
                <w:rFonts w:cstheme="minorHAnsi"/>
                <w:sz w:val="20"/>
                <w:szCs w:val="20"/>
              </w:rPr>
              <w:t>Uniform for Y7</w:t>
            </w:r>
          </w:p>
          <w:p>
            <w:pPr>
              <w:rPr>
                <w:rFonts w:cstheme="minorHAnsi"/>
                <w:sz w:val="20"/>
                <w:szCs w:val="20"/>
              </w:rPr>
            </w:pPr>
            <w:r>
              <w:rPr>
                <w:rFonts w:cstheme="minorHAnsi"/>
                <w:sz w:val="20"/>
                <w:szCs w:val="20"/>
              </w:rPr>
              <w:t>Uniform £6,000</w:t>
            </w:r>
          </w:p>
          <w:p>
            <w:pPr>
              <w:rPr>
                <w:rFonts w:cstheme="minorHAnsi"/>
                <w:sz w:val="20"/>
                <w:szCs w:val="20"/>
              </w:rPr>
            </w:pPr>
          </w:p>
          <w:p>
            <w:pPr>
              <w:rPr>
                <w:rFonts w:cstheme="minorHAnsi"/>
                <w:sz w:val="20"/>
                <w:szCs w:val="20"/>
              </w:rPr>
            </w:pPr>
            <w:r>
              <w:rPr>
                <w:rFonts w:cstheme="minorHAnsi"/>
                <w:sz w:val="20"/>
                <w:szCs w:val="20"/>
              </w:rPr>
              <w:t>replacements</w:t>
            </w:r>
          </w:p>
          <w:p>
            <w:pPr>
              <w:rPr>
                <w:rFonts w:cstheme="minorHAnsi"/>
                <w:sz w:val="20"/>
                <w:szCs w:val="20"/>
              </w:rPr>
            </w:pPr>
            <w:r>
              <w:rPr>
                <w:rFonts w:cstheme="minorHAnsi"/>
                <w:sz w:val="20"/>
                <w:szCs w:val="20"/>
              </w:rPr>
              <w:t>Baby wipes</w:t>
            </w:r>
          </w:p>
          <w:p>
            <w:pPr>
              <w:rPr>
                <w:rFonts w:cstheme="minorHAnsi"/>
                <w:sz w:val="20"/>
                <w:szCs w:val="20"/>
              </w:rPr>
            </w:pPr>
            <w:r>
              <w:rPr>
                <w:rFonts w:cstheme="minorHAnsi"/>
                <w:sz w:val="20"/>
                <w:szCs w:val="20"/>
              </w:rPr>
              <w:t>£100</w:t>
            </w:r>
          </w:p>
          <w:p>
            <w:pPr>
              <w:rPr>
                <w:rFonts w:cstheme="minorHAnsi"/>
                <w:sz w:val="20"/>
                <w:szCs w:val="20"/>
              </w:rPr>
            </w:pPr>
          </w:p>
          <w:p>
            <w:pPr>
              <w:rPr>
                <w:rFonts w:cstheme="minorHAnsi"/>
                <w:sz w:val="20"/>
                <w:szCs w:val="20"/>
              </w:rPr>
            </w:pPr>
            <w:r>
              <w:rPr>
                <w:rFonts w:cstheme="minorHAnsi"/>
                <w:sz w:val="20"/>
                <w:szCs w:val="20"/>
              </w:rPr>
              <w:t xml:space="preserve">Alternative curriculum </w:t>
            </w:r>
          </w:p>
          <w:p>
            <w:pPr>
              <w:rPr>
                <w:rFonts w:cstheme="minorHAnsi"/>
                <w:sz w:val="20"/>
                <w:szCs w:val="20"/>
              </w:rPr>
            </w:pPr>
            <w:r>
              <w:rPr>
                <w:rFonts w:cstheme="minorHAnsi"/>
                <w:sz w:val="20"/>
                <w:szCs w:val="20"/>
              </w:rPr>
              <w:t>£84,000</w:t>
            </w:r>
          </w:p>
          <w:p>
            <w:pPr>
              <w:rPr>
                <w:rFonts w:cstheme="minorHAnsi"/>
                <w:sz w:val="20"/>
                <w:szCs w:val="20"/>
              </w:rPr>
            </w:pPr>
          </w:p>
          <w:p>
            <w:pPr>
              <w:rPr>
                <w:rFonts w:cstheme="minorHAnsi"/>
                <w:sz w:val="20"/>
                <w:szCs w:val="20"/>
              </w:rPr>
            </w:pPr>
          </w:p>
          <w:p>
            <w:pPr>
              <w:rPr>
                <w:rFonts w:cstheme="minorHAnsi"/>
                <w:sz w:val="20"/>
                <w:szCs w:val="20"/>
              </w:rPr>
            </w:pPr>
          </w:p>
          <w:p>
            <w:pPr>
              <w:rPr>
                <w:rFonts w:cstheme="minorHAnsi"/>
                <w:sz w:val="20"/>
                <w:szCs w:val="20"/>
              </w:rPr>
            </w:pPr>
          </w:p>
          <w:p>
            <w:pPr>
              <w:rPr>
                <w:rFonts w:cstheme="minorHAnsi"/>
                <w:sz w:val="20"/>
                <w:szCs w:val="20"/>
              </w:rPr>
            </w:pPr>
          </w:p>
          <w:p>
            <w:pPr>
              <w:rPr>
                <w:rFonts w:cstheme="minorHAnsi"/>
                <w:sz w:val="20"/>
                <w:szCs w:val="20"/>
              </w:rPr>
            </w:pPr>
          </w:p>
          <w:p>
            <w:pPr>
              <w:spacing w:after="160" w:line="254" w:lineRule="auto"/>
              <w:rPr>
                <w:rFonts w:cstheme="minorHAnsi"/>
                <w:iCs/>
                <w:sz w:val="20"/>
                <w:szCs w:val="20"/>
              </w:rPr>
            </w:pPr>
            <w:r>
              <w:rPr>
                <w:rFonts w:cstheme="minorHAnsi"/>
                <w:iCs/>
                <w:sz w:val="20"/>
                <w:szCs w:val="20"/>
              </w:rPr>
              <w:t>Lunches for transition days (included in refreshments above)</w:t>
            </w:r>
          </w:p>
          <w:p>
            <w:pPr>
              <w:rPr>
                <w:rFonts w:cstheme="minorHAnsi"/>
                <w:sz w:val="20"/>
                <w:szCs w:val="20"/>
              </w:rPr>
            </w:pPr>
          </w:p>
          <w:p>
            <w:pPr>
              <w:rPr>
                <w:rFonts w:cstheme="minorHAnsi"/>
                <w:sz w:val="20"/>
                <w:szCs w:val="20"/>
              </w:rPr>
            </w:pPr>
          </w:p>
          <w:p>
            <w:pPr>
              <w:ind w:firstLine="720"/>
              <w:rPr>
                <w:rFonts w:cstheme="minorHAnsi"/>
                <w:sz w:val="20"/>
                <w:szCs w:val="20"/>
              </w:rPr>
            </w:pPr>
          </w:p>
          <w:p>
            <w:pPr>
              <w:rPr>
                <w:rFonts w:cstheme="minorHAnsi"/>
                <w:sz w:val="20"/>
                <w:szCs w:val="20"/>
              </w:rPr>
            </w:pPr>
            <w:r>
              <w:rPr>
                <w:rFonts w:cstheme="minorHAnsi"/>
                <w:sz w:val="20"/>
                <w:szCs w:val="20"/>
              </w:rPr>
              <w:t>Y7 Induction programme £1,152</w:t>
            </w:r>
          </w:p>
          <w:p>
            <w:pPr>
              <w:ind w:firstLine="720"/>
              <w:rPr>
                <w:rFonts w:cstheme="minorHAnsi"/>
                <w:sz w:val="20"/>
                <w:szCs w:val="20"/>
              </w:rPr>
            </w:pPr>
          </w:p>
          <w:p>
            <w:pPr>
              <w:ind w:firstLine="720"/>
              <w:rPr>
                <w:rFonts w:cstheme="minorHAnsi"/>
                <w:sz w:val="20"/>
                <w:szCs w:val="20"/>
              </w:rPr>
            </w:pPr>
          </w:p>
          <w:p>
            <w:pPr>
              <w:ind w:firstLine="720"/>
              <w:rPr>
                <w:rFonts w:cstheme="minorHAnsi"/>
                <w:sz w:val="20"/>
                <w:szCs w:val="20"/>
              </w:rPr>
            </w:pPr>
          </w:p>
          <w:p>
            <w:pPr>
              <w:ind w:firstLine="720"/>
              <w:rPr>
                <w:rFonts w:cstheme="minorHAnsi"/>
                <w:sz w:val="20"/>
                <w:szCs w:val="20"/>
              </w:rPr>
            </w:pPr>
          </w:p>
          <w:p>
            <w:pPr>
              <w:rPr>
                <w:rFonts w:cstheme="minorHAnsi"/>
                <w:sz w:val="20"/>
                <w:szCs w:val="20"/>
              </w:rPr>
            </w:pPr>
            <w:r>
              <w:rPr>
                <w:rFonts w:cstheme="minorHAnsi"/>
                <w:sz w:val="20"/>
                <w:szCs w:val="20"/>
              </w:rPr>
              <w:t xml:space="preserve">Proportion of Learning mentor salary x 2 </w:t>
            </w:r>
          </w:p>
          <w:p>
            <w:pPr>
              <w:rPr>
                <w:rFonts w:cstheme="minorHAnsi"/>
                <w:sz w:val="20"/>
                <w:szCs w:val="20"/>
              </w:rPr>
            </w:pPr>
            <w:r>
              <w:rPr>
                <w:rFonts w:cstheme="minorHAnsi"/>
                <w:sz w:val="20"/>
                <w:szCs w:val="20"/>
              </w:rPr>
              <w:t>(on confidential strategy)</w:t>
            </w:r>
          </w:p>
          <w:p>
            <w:pPr>
              <w:ind w:firstLine="720"/>
              <w:rPr>
                <w:rFonts w:cstheme="minorHAnsi"/>
                <w:sz w:val="20"/>
                <w:szCs w:val="20"/>
              </w:rPr>
            </w:pPr>
          </w:p>
          <w:p>
            <w:pPr>
              <w:ind w:firstLine="720"/>
              <w:rPr>
                <w:rFonts w:cstheme="minorHAnsi"/>
                <w:sz w:val="20"/>
                <w:szCs w:val="20"/>
              </w:rPr>
            </w:pPr>
          </w:p>
          <w:p>
            <w:pPr>
              <w:ind w:firstLine="720"/>
              <w:rPr>
                <w:rFonts w:cstheme="minorHAnsi"/>
                <w:sz w:val="20"/>
                <w:szCs w:val="20"/>
              </w:rPr>
            </w:pPr>
          </w:p>
          <w:p>
            <w:pPr>
              <w:ind w:firstLine="720"/>
              <w:rPr>
                <w:rFonts w:cstheme="minorHAnsi"/>
                <w:sz w:val="20"/>
                <w:szCs w:val="20"/>
              </w:rPr>
            </w:pPr>
          </w:p>
          <w:p>
            <w:pPr>
              <w:contextualSpacing/>
              <w:rPr>
                <w:rFonts w:eastAsia="Calibri" w:cstheme="minorHAnsi"/>
                <w:sz w:val="20"/>
                <w:szCs w:val="20"/>
              </w:rPr>
            </w:pPr>
            <w:r>
              <w:rPr>
                <w:rFonts w:eastAsia="Calibri" w:cstheme="minorHAnsi"/>
                <w:sz w:val="20"/>
                <w:szCs w:val="20"/>
              </w:rPr>
              <w:t>CLA Funding =£7,000*</w:t>
            </w:r>
          </w:p>
          <w:p>
            <w:pPr>
              <w:rPr>
                <w:rFonts w:cstheme="minorHAnsi"/>
                <w:sz w:val="20"/>
                <w:szCs w:val="20"/>
              </w:rPr>
            </w:pPr>
            <w:r>
              <w:rPr>
                <w:rFonts w:cstheme="minorHAnsi"/>
                <w:sz w:val="20"/>
                <w:szCs w:val="20"/>
              </w:rPr>
              <w:t>(Provisional and not part of PP)</w:t>
            </w:r>
          </w:p>
          <w:p>
            <w:pPr>
              <w:contextualSpacing/>
              <w:rPr>
                <w:rFonts w:cstheme="minorHAnsi"/>
                <w:sz w:val="20"/>
                <w:szCs w:val="20"/>
              </w:rPr>
            </w:pPr>
          </w:p>
        </w:tc>
      </w:tr>
    </w:tbl>
    <w:p/>
    <w:sectPr>
      <w:footerReference w:type="default" r:id="rId2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55294"/>
      <w:docPartObj>
        <w:docPartGallery w:val="Page Numbers (Bottom of Page)"/>
        <w:docPartUnique/>
      </w:docPartObj>
    </w:sdtPr>
    <w:sdtEndPr>
      <w:rPr>
        <w:noProof/>
      </w:rPr>
    </w:sdtEndPr>
    <w:sdtContent>
      <w:p>
        <w:pPr>
          <w:pStyle w:val="Footer"/>
        </w:pPr>
        <w:r>
          <w:fldChar w:fldCharType="begin"/>
        </w:r>
        <w:r>
          <w:instrText xml:space="preserve"> PAGE   \* MERGEFORMAT </w:instrText>
        </w:r>
        <w:r>
          <w:fldChar w:fldCharType="separate"/>
        </w:r>
        <w:r>
          <w:rPr>
            <w:noProof/>
          </w:rPr>
          <w:t>17</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E2F"/>
    <w:multiLevelType w:val="hybridMultilevel"/>
    <w:tmpl w:val="F00C9F5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6813469"/>
    <w:multiLevelType w:val="hybridMultilevel"/>
    <w:tmpl w:val="C49E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C1C1A"/>
    <w:multiLevelType w:val="hybridMultilevel"/>
    <w:tmpl w:val="5680D68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E8F0627"/>
    <w:multiLevelType w:val="hybridMultilevel"/>
    <w:tmpl w:val="0032C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24A47"/>
    <w:multiLevelType w:val="hybridMultilevel"/>
    <w:tmpl w:val="D76CD54A"/>
    <w:lvl w:ilvl="0" w:tplc="7CC862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E0B58"/>
    <w:multiLevelType w:val="hybridMultilevel"/>
    <w:tmpl w:val="34089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0A26A9"/>
    <w:multiLevelType w:val="hybridMultilevel"/>
    <w:tmpl w:val="DE76F41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25334890"/>
    <w:multiLevelType w:val="hybridMultilevel"/>
    <w:tmpl w:val="0360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195D2E"/>
    <w:multiLevelType w:val="hybridMultilevel"/>
    <w:tmpl w:val="6B3C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E05336"/>
    <w:multiLevelType w:val="hybridMultilevel"/>
    <w:tmpl w:val="E3DE6B92"/>
    <w:lvl w:ilvl="0" w:tplc="7AB057DC">
      <w:start w:val="1"/>
      <w:numFmt w:val="decimal"/>
      <w:lvlText w:val="(%1."/>
      <w:lvlJc w:val="left"/>
      <w:pPr>
        <w:ind w:left="417" w:hanging="360"/>
      </w:pPr>
      <w:rPr>
        <w:rFonts w:cs="Arial" w:hint="default"/>
        <w:color w:val="000000" w:themeColor="text1"/>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0" w15:restartNumberingAfterBreak="0">
    <w:nsid w:val="36065290"/>
    <w:multiLevelType w:val="hybridMultilevel"/>
    <w:tmpl w:val="13D07ECA"/>
    <w:lvl w:ilvl="0" w:tplc="093CB4C8">
      <w:start w:val="1"/>
      <w:numFmt w:val="decimal"/>
      <w:lvlText w:val="%1."/>
      <w:lvlJc w:val="left"/>
      <w:pPr>
        <w:ind w:left="720" w:hanging="360"/>
      </w:pPr>
      <w:rPr>
        <w:rFonts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251146"/>
    <w:multiLevelType w:val="hybridMultilevel"/>
    <w:tmpl w:val="787CA60E"/>
    <w:lvl w:ilvl="0" w:tplc="79B0E3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FB75AF"/>
    <w:multiLevelType w:val="hybridMultilevel"/>
    <w:tmpl w:val="AC78F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CE3BC7"/>
    <w:multiLevelType w:val="hybridMultilevel"/>
    <w:tmpl w:val="A552D3EE"/>
    <w:lvl w:ilvl="0" w:tplc="6FBAC03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48C736E9"/>
    <w:multiLevelType w:val="hybridMultilevel"/>
    <w:tmpl w:val="8A52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28358F"/>
    <w:multiLevelType w:val="hybridMultilevel"/>
    <w:tmpl w:val="891C7B80"/>
    <w:lvl w:ilvl="0" w:tplc="BF5A4FC4">
      <w:start w:val="1"/>
      <w:numFmt w:val="decimal"/>
      <w:lvlText w:val="%1."/>
      <w:lvlJc w:val="left"/>
      <w:pPr>
        <w:ind w:left="417" w:hanging="360"/>
      </w:pPr>
      <w:rPr>
        <w:rFonts w:cs="Arial" w:hint="default"/>
        <w:color w:val="000000" w:themeColor="text1"/>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6" w15:restartNumberingAfterBreak="0">
    <w:nsid w:val="535F2315"/>
    <w:multiLevelType w:val="hybridMultilevel"/>
    <w:tmpl w:val="AC5E41A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56A12569"/>
    <w:multiLevelType w:val="hybridMultilevel"/>
    <w:tmpl w:val="932C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D0305B"/>
    <w:multiLevelType w:val="hybridMultilevel"/>
    <w:tmpl w:val="8D4E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5322A"/>
    <w:multiLevelType w:val="hybridMultilevel"/>
    <w:tmpl w:val="87C4CEA6"/>
    <w:lvl w:ilvl="0" w:tplc="B8C4D646">
      <w:numFmt w:val="bullet"/>
      <w:lvlText w:val="-"/>
      <w:lvlJc w:val="left"/>
      <w:pPr>
        <w:ind w:left="1429" w:hanging="36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124388D"/>
    <w:multiLevelType w:val="hybridMultilevel"/>
    <w:tmpl w:val="8D544AA8"/>
    <w:lvl w:ilvl="0" w:tplc="FBBE55E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FF22E34"/>
    <w:multiLevelType w:val="hybridMultilevel"/>
    <w:tmpl w:val="8C181456"/>
    <w:lvl w:ilvl="0" w:tplc="882A46E0">
      <w:start w:val="1"/>
      <w:numFmt w:val="decimal"/>
      <w:lvlText w:val="%1."/>
      <w:lvlJc w:val="left"/>
      <w:pPr>
        <w:ind w:left="417" w:hanging="360"/>
      </w:pPr>
      <w:rPr>
        <w:rFonts w:hint="default"/>
        <w:b/>
        <w:sz w:val="24"/>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num w:numId="1">
    <w:abstractNumId w:val="21"/>
  </w:num>
  <w:num w:numId="2">
    <w:abstractNumId w:val="12"/>
  </w:num>
  <w:num w:numId="3">
    <w:abstractNumId w:val="6"/>
  </w:num>
  <w:num w:numId="4">
    <w:abstractNumId w:val="16"/>
  </w:num>
  <w:num w:numId="5">
    <w:abstractNumId w:val="0"/>
  </w:num>
  <w:num w:numId="6">
    <w:abstractNumId w:val="2"/>
  </w:num>
  <w:num w:numId="7">
    <w:abstractNumId w:val="10"/>
  </w:num>
  <w:num w:numId="8">
    <w:abstractNumId w:val="15"/>
  </w:num>
  <w:num w:numId="9">
    <w:abstractNumId w:val="9"/>
  </w:num>
  <w:num w:numId="10">
    <w:abstractNumId w:val="20"/>
  </w:num>
  <w:num w:numId="11">
    <w:abstractNumId w:val="13"/>
  </w:num>
  <w:num w:numId="12">
    <w:abstractNumId w:val="11"/>
  </w:num>
  <w:num w:numId="13">
    <w:abstractNumId w:val="22"/>
  </w:num>
  <w:num w:numId="14">
    <w:abstractNumId w:val="4"/>
  </w:num>
  <w:num w:numId="15">
    <w:abstractNumId w:val="19"/>
  </w:num>
  <w:num w:numId="16">
    <w:abstractNumId w:val="5"/>
  </w:num>
  <w:num w:numId="17">
    <w:abstractNumId w:val="18"/>
  </w:num>
  <w:num w:numId="18">
    <w:abstractNumId w:val="17"/>
  </w:num>
  <w:num w:numId="19">
    <w:abstractNumId w:val="3"/>
  </w:num>
  <w:num w:numId="20">
    <w:abstractNumId w:val="8"/>
  </w:num>
  <w:num w:numId="21">
    <w:abstractNumId w:val="7"/>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58507F6-14C4-4EF8-B4FA-AA0CBD2E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pPr>
      <w:widowControl w:val="0"/>
      <w:autoSpaceDE w:val="0"/>
      <w:autoSpaceDN w:val="0"/>
      <w:spacing w:after="0" w:line="240" w:lineRule="auto"/>
    </w:pPr>
    <w:rPr>
      <w:rFonts w:ascii="Arial" w:eastAsia="Arial" w:hAnsi="Arial" w:cs="Arial"/>
      <w:lang w:val="en-US"/>
    </w:rPr>
  </w:style>
  <w:style w:type="paragraph" w:styleId="ListParagraph">
    <w:name w:val="List Paragraph"/>
    <w:aliases w:val="NumberedList,Colorful List - Accent 11"/>
    <w:basedOn w:val="Normal"/>
    <w:link w:val="ListParagraphChar"/>
    <w:uiPriority w:val="34"/>
    <w:qFormat/>
    <w:pPr>
      <w:numPr>
        <w:numId w:val="1"/>
      </w:numPr>
      <w:suppressAutoHyphens/>
      <w:autoSpaceDN w:val="0"/>
      <w:spacing w:after="240" w:line="288" w:lineRule="auto"/>
      <w:contextualSpacing/>
    </w:pPr>
    <w:rPr>
      <w:rFonts w:ascii="Arial" w:eastAsia="Times New Roman" w:hAnsi="Arial" w:cs="Times New Roman"/>
      <w:color w:val="0D0D0D"/>
      <w:sz w:val="24"/>
      <w:szCs w:val="24"/>
      <w:lang w:eastAsia="en-GB"/>
    </w:rPr>
  </w:style>
  <w:style w:type="paragraph" w:customStyle="1" w:styleId="TableRowCentered">
    <w:name w:val="TableRowCentered"/>
    <w:basedOn w:val="Normal"/>
    <w:pPr>
      <w:suppressAutoHyphens/>
      <w:autoSpaceDN w:val="0"/>
      <w:spacing w:before="60" w:after="60" w:line="240" w:lineRule="auto"/>
      <w:ind w:left="57" w:right="57"/>
      <w:jc w:val="center"/>
    </w:pPr>
    <w:rPr>
      <w:rFonts w:ascii="Arial" w:eastAsia="Times New Roman" w:hAnsi="Arial" w:cs="Times New Roman"/>
      <w:color w:val="0D0D0D"/>
      <w:sz w:val="24"/>
      <w:szCs w:val="20"/>
      <w:lang w:eastAsia="en-GB"/>
    </w:rPr>
  </w:style>
  <w:style w:type="numbering" w:customStyle="1" w:styleId="LFO25">
    <w:name w:val="LFO25"/>
    <w:basedOn w:val="NoList"/>
    <w:pPr>
      <w:numPr>
        <w:numId w:val="1"/>
      </w:numPr>
    </w:pPr>
  </w:style>
  <w:style w:type="character" w:customStyle="1" w:styleId="ListParagraphChar">
    <w:name w:val="List Paragraph Char"/>
    <w:aliases w:val="NumberedList Char,Colorful List - Accent 11 Char"/>
    <w:link w:val="ListParagraph"/>
    <w:uiPriority w:val="34"/>
    <w:rPr>
      <w:rFonts w:ascii="Arial" w:eastAsia="Times New Roman" w:hAnsi="Arial" w:cs="Times New Roman"/>
      <w:color w:val="0D0D0D"/>
      <w:sz w:val="24"/>
      <w:szCs w:val="24"/>
      <w:lang w:eastAsia="en-GB"/>
    </w:rPr>
  </w:style>
  <w:style w:type="paragraph" w:customStyle="1" w:styleId="TableRow">
    <w:name w:val="TableRow"/>
    <w:pPr>
      <w:suppressAutoHyphens/>
      <w:autoSpaceDN w:val="0"/>
      <w:spacing w:before="60" w:after="60" w:line="240" w:lineRule="auto"/>
      <w:ind w:left="57" w:right="57"/>
    </w:pPr>
    <w:rPr>
      <w:rFonts w:ascii="Arial" w:eastAsia="Times New Roman" w:hAnsi="Arial" w:cs="Times New Roman"/>
      <w:color w:val="0D0D0D"/>
      <w:sz w:val="24"/>
      <w:szCs w:val="24"/>
      <w:lang w:eastAsia="en-GB"/>
    </w:rPr>
  </w:style>
  <w:style w:type="character" w:customStyle="1" w:styleId="Heading3Char">
    <w:name w:val="Heading 3 Char"/>
    <w:rPr>
      <w:b/>
      <w:bCs/>
      <w:color w:val="104F75"/>
      <w:sz w:val="28"/>
      <w:szCs w:val="28"/>
    </w:rPr>
  </w:style>
  <w:style w:type="character" w:styleId="PageNumber">
    <w:name w:val="page number"/>
    <w:basedOn w:val="DefaultParagraphFont"/>
    <w:uiPriority w:val="99"/>
    <w:semiHidden/>
    <w:unhideWhenUsed/>
  </w:style>
  <w:style w:type="paragraph" w:styleId="NoSpacing">
    <w:name w:val="No Spacing"/>
    <w:uiPriority w:val="1"/>
    <w:qFormat/>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yperlink" Target="http://educationendowmentfoundation.org.uk/toolkit/" TargetMode="External"/><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hyperlink" Target="https://educationendowmentfoundation.org.uk/tools/assessing-and-monitoring-pupil-progress/testing/standardised-tests/"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8D856-A514-4275-89C1-CD57C673F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7344</Words>
  <Characters>41861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M</dc:creator>
  <cp:keywords/>
  <dc:description/>
  <cp:lastModifiedBy>Turner M</cp:lastModifiedBy>
  <cp:revision>2</cp:revision>
  <dcterms:created xsi:type="dcterms:W3CDTF">2021-11-16T06:23:00Z</dcterms:created>
  <dcterms:modified xsi:type="dcterms:W3CDTF">2021-11-16T06:23:00Z</dcterms:modified>
</cp:coreProperties>
</file>