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873" w:rsidRPr="00A06DB0" w:rsidRDefault="00EB7873" w:rsidP="00A06DB0">
      <w:pPr>
        <w:pStyle w:val="Default"/>
        <w:jc w:val="center"/>
        <w:rPr>
          <w:sz w:val="22"/>
          <w:szCs w:val="22"/>
          <w:u w:val="single"/>
        </w:rPr>
      </w:pPr>
      <w:r w:rsidRPr="00A06DB0">
        <w:rPr>
          <w:b/>
          <w:bCs/>
          <w:sz w:val="22"/>
          <w:szCs w:val="22"/>
          <w:u w:val="single"/>
        </w:rPr>
        <w:t xml:space="preserve">Year 7 </w:t>
      </w:r>
      <w:r w:rsidR="00C44DC2" w:rsidRPr="00A06DB0">
        <w:rPr>
          <w:b/>
          <w:bCs/>
          <w:sz w:val="22"/>
          <w:szCs w:val="22"/>
          <w:u w:val="single"/>
        </w:rPr>
        <w:t>Numeracy and Literacy</w:t>
      </w:r>
      <w:r w:rsidRPr="00A06DB0">
        <w:rPr>
          <w:b/>
          <w:bCs/>
          <w:sz w:val="22"/>
          <w:szCs w:val="22"/>
          <w:u w:val="single"/>
        </w:rPr>
        <w:t xml:space="preserve"> Catch-up Premium</w:t>
      </w:r>
    </w:p>
    <w:p w:rsidR="00EB7873" w:rsidRPr="00A06DB0" w:rsidRDefault="007C40E7" w:rsidP="00EB7873">
      <w:pPr>
        <w:pStyle w:val="Default"/>
        <w:rPr>
          <w:sz w:val="22"/>
          <w:szCs w:val="22"/>
          <w:u w:val="single"/>
        </w:rPr>
      </w:pPr>
      <w:r>
        <w:rPr>
          <w:b/>
          <w:bCs/>
          <w:sz w:val="22"/>
          <w:szCs w:val="22"/>
          <w:u w:val="single"/>
        </w:rPr>
        <w:t>Academic Year 2019-2020</w:t>
      </w:r>
      <w:r w:rsidR="00EB7873" w:rsidRPr="00A06DB0">
        <w:rPr>
          <w:b/>
          <w:bCs/>
          <w:sz w:val="22"/>
          <w:szCs w:val="22"/>
          <w:u w:val="single"/>
        </w:rPr>
        <w:t xml:space="preserve"> </w:t>
      </w:r>
    </w:p>
    <w:p w:rsidR="00EB7873" w:rsidRDefault="00EB7873" w:rsidP="00EB7873">
      <w:pPr>
        <w:pStyle w:val="Default"/>
        <w:rPr>
          <w:sz w:val="22"/>
          <w:szCs w:val="22"/>
        </w:rPr>
      </w:pPr>
      <w:r>
        <w:rPr>
          <w:sz w:val="22"/>
          <w:szCs w:val="22"/>
        </w:rPr>
        <w:t xml:space="preserve">This </w:t>
      </w:r>
      <w:r w:rsidR="006D6108">
        <w:rPr>
          <w:sz w:val="22"/>
          <w:szCs w:val="22"/>
        </w:rPr>
        <w:t>cohort undertook</w:t>
      </w:r>
      <w:r>
        <w:rPr>
          <w:sz w:val="22"/>
          <w:szCs w:val="22"/>
        </w:rPr>
        <w:t xml:space="preserve"> the new Key Stage 2 assessments and were awarded a Standardised Assessment Score (SAS) from the new examinations in reading, grammar, punctuation and spelling and mathematics. The students also were awarded a teacher assessed grading for writing and mathematics.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 xml:space="preserve">As a school’s Progress 8 is currently measured based on a student’s starting point average of reading and mathematics levels we have based our calculations and the students’ average SAS score for reading and mathematics from their examination scores.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 xml:space="preserve">The funding the school received last year was proportional to the number of students who received it due to them being below </w:t>
      </w:r>
      <w:r w:rsidR="00651A57">
        <w:rPr>
          <w:sz w:val="22"/>
          <w:szCs w:val="22"/>
        </w:rPr>
        <w:t>the expected standard</w:t>
      </w:r>
      <w:r>
        <w:rPr>
          <w:sz w:val="22"/>
          <w:szCs w:val="22"/>
        </w:rPr>
        <w:t xml:space="preserve"> in either English and/or mathematics. </w:t>
      </w:r>
      <w:r w:rsidR="00C44DC2" w:rsidRPr="004D248C">
        <w:rPr>
          <w:color w:val="auto"/>
          <w:sz w:val="22"/>
          <w:szCs w:val="22"/>
        </w:rPr>
        <w:t xml:space="preserve">The number of student who came in below expected level in numeracy or literacy was </w:t>
      </w:r>
      <w:r w:rsidR="007C40E7">
        <w:rPr>
          <w:color w:val="auto"/>
          <w:sz w:val="22"/>
          <w:szCs w:val="22"/>
        </w:rPr>
        <w:t>69.</w:t>
      </w:r>
      <w:r w:rsidRPr="004D248C">
        <w:rPr>
          <w:color w:val="auto"/>
          <w:sz w:val="22"/>
          <w:szCs w:val="22"/>
        </w:rPr>
        <w:t xml:space="preserve"> </w:t>
      </w:r>
    </w:p>
    <w:p w:rsidR="00EB7873" w:rsidRDefault="00EB7873" w:rsidP="00EB7873">
      <w:pPr>
        <w:pStyle w:val="Default"/>
        <w:rPr>
          <w:sz w:val="22"/>
          <w:szCs w:val="22"/>
        </w:rPr>
      </w:pPr>
    </w:p>
    <w:p w:rsidR="00EB7873" w:rsidRDefault="00EB7873" w:rsidP="00EB7873">
      <w:pPr>
        <w:pStyle w:val="Default"/>
        <w:rPr>
          <w:sz w:val="22"/>
          <w:szCs w:val="22"/>
        </w:rPr>
      </w:pPr>
      <w:r>
        <w:rPr>
          <w:sz w:val="22"/>
          <w:szCs w:val="22"/>
        </w:rPr>
        <w:t>Reading tests and CATs tests were administered in the first hal</w:t>
      </w:r>
      <w:r w:rsidR="007C40E7">
        <w:rPr>
          <w:sz w:val="22"/>
          <w:szCs w:val="22"/>
        </w:rPr>
        <w:t>f term of the academic year 2019-2020</w:t>
      </w:r>
      <w:r>
        <w:rPr>
          <w:sz w:val="22"/>
          <w:szCs w:val="22"/>
        </w:rPr>
        <w:t xml:space="preserve"> for all Year 7 students and these results were analysed together with</w:t>
      </w:r>
      <w:r w:rsidR="00C44DC2">
        <w:rPr>
          <w:sz w:val="22"/>
          <w:szCs w:val="22"/>
        </w:rPr>
        <w:t xml:space="preserve"> indivi</w:t>
      </w:r>
      <w:r w:rsidR="007C40E7">
        <w:rPr>
          <w:sz w:val="22"/>
          <w:szCs w:val="22"/>
        </w:rPr>
        <w:t>dual numeracy tests. In total 69</w:t>
      </w:r>
      <w:r w:rsidR="00C44DC2">
        <w:rPr>
          <w:sz w:val="22"/>
          <w:szCs w:val="22"/>
        </w:rPr>
        <w:t xml:space="preserve"> students required additional support and the use of the catch up premium.</w:t>
      </w:r>
    </w:p>
    <w:p w:rsidR="00EB7873" w:rsidRDefault="00EB7873" w:rsidP="00EB7873">
      <w:pPr>
        <w:pStyle w:val="Default"/>
        <w:rPr>
          <w:b/>
          <w:bCs/>
          <w:sz w:val="22"/>
          <w:szCs w:val="22"/>
        </w:rPr>
      </w:pPr>
    </w:p>
    <w:p w:rsidR="00EB7873" w:rsidRDefault="00A07231" w:rsidP="00EB7873">
      <w:pPr>
        <w:pStyle w:val="Default"/>
        <w:rPr>
          <w:b/>
          <w:bCs/>
          <w:sz w:val="22"/>
          <w:szCs w:val="22"/>
        </w:rPr>
      </w:pPr>
      <w:r>
        <w:rPr>
          <w:b/>
          <w:bCs/>
          <w:sz w:val="22"/>
          <w:szCs w:val="22"/>
        </w:rPr>
        <w:t xml:space="preserve">Literacy </w:t>
      </w:r>
    </w:p>
    <w:p w:rsidR="00EB7873" w:rsidRDefault="00A07231" w:rsidP="00EB7873">
      <w:pPr>
        <w:pStyle w:val="Default"/>
        <w:rPr>
          <w:sz w:val="22"/>
          <w:szCs w:val="22"/>
        </w:rPr>
      </w:pPr>
      <w:r>
        <w:rPr>
          <w:sz w:val="22"/>
          <w:szCs w:val="22"/>
        </w:rPr>
        <w:t>Small group intervention delivered by a teaching assistant.</w:t>
      </w:r>
      <w:r w:rsidR="0072694A">
        <w:rPr>
          <w:sz w:val="22"/>
          <w:szCs w:val="22"/>
        </w:rPr>
        <w:t xml:space="preserve"> Resources such as </w:t>
      </w:r>
      <w:r>
        <w:rPr>
          <w:sz w:val="22"/>
          <w:szCs w:val="22"/>
        </w:rPr>
        <w:t xml:space="preserve">Word Shark, </w:t>
      </w:r>
      <w:r w:rsidR="00A06DB0">
        <w:rPr>
          <w:sz w:val="22"/>
          <w:szCs w:val="22"/>
        </w:rPr>
        <w:t xml:space="preserve">Bedrock, </w:t>
      </w:r>
      <w:r w:rsidR="0072694A">
        <w:rPr>
          <w:sz w:val="22"/>
          <w:szCs w:val="22"/>
        </w:rPr>
        <w:t>Swap cards, style trays, close procedure reading, phonics high frequency words, SWST, and WRAT package used in the last term. Interventions specific to student needs based on early assessment of students who are below expected</w:t>
      </w:r>
      <w:r w:rsidR="00A06DB0">
        <w:rPr>
          <w:sz w:val="22"/>
          <w:szCs w:val="22"/>
        </w:rPr>
        <w:t xml:space="preserve"> level</w:t>
      </w:r>
      <w:r w:rsidR="0072694A">
        <w:rPr>
          <w:sz w:val="22"/>
          <w:szCs w:val="22"/>
        </w:rPr>
        <w:t xml:space="preserve"> in Literacy.</w:t>
      </w:r>
      <w:r w:rsidR="00A06DB0">
        <w:rPr>
          <w:sz w:val="22"/>
          <w:szCs w:val="22"/>
        </w:rPr>
        <w:t xml:space="preserve"> </w:t>
      </w:r>
    </w:p>
    <w:p w:rsidR="00EB7873" w:rsidRDefault="00EB7873" w:rsidP="00EB7873">
      <w:pPr>
        <w:pStyle w:val="Default"/>
        <w:rPr>
          <w:sz w:val="22"/>
          <w:szCs w:val="22"/>
        </w:rPr>
      </w:pPr>
    </w:p>
    <w:p w:rsidR="00EB7873" w:rsidRDefault="00A07231" w:rsidP="00EB7873">
      <w:pPr>
        <w:pStyle w:val="Default"/>
        <w:rPr>
          <w:b/>
          <w:bCs/>
          <w:sz w:val="22"/>
          <w:szCs w:val="22"/>
        </w:rPr>
      </w:pPr>
      <w:r>
        <w:rPr>
          <w:b/>
          <w:bCs/>
          <w:sz w:val="22"/>
          <w:szCs w:val="22"/>
        </w:rPr>
        <w:t>Numeracy</w:t>
      </w:r>
    </w:p>
    <w:p w:rsidR="0072694A" w:rsidRPr="00A06DB0" w:rsidRDefault="0072694A" w:rsidP="00EB7873">
      <w:pPr>
        <w:pStyle w:val="Default"/>
        <w:rPr>
          <w:bCs/>
          <w:sz w:val="22"/>
          <w:szCs w:val="22"/>
        </w:rPr>
      </w:pPr>
      <w:r w:rsidRPr="00A06DB0">
        <w:rPr>
          <w:bCs/>
          <w:sz w:val="22"/>
          <w:szCs w:val="22"/>
        </w:rPr>
        <w:t>Small group intervention delivered to year 7 students by one teaching assistant. Numeracy age assessed after each term to monitor progress. Number shark and numeracy intervention used focussing on multiplication, division, addition, subtraction, money, telling the time and place value.</w:t>
      </w:r>
    </w:p>
    <w:p w:rsidR="0072694A" w:rsidRDefault="0072694A" w:rsidP="00EB7873">
      <w:pPr>
        <w:pStyle w:val="Default"/>
        <w:rPr>
          <w:b/>
          <w:bCs/>
          <w:sz w:val="22"/>
          <w:szCs w:val="22"/>
        </w:rPr>
      </w:pPr>
    </w:p>
    <w:p w:rsidR="00EB7873" w:rsidRDefault="00DD0290" w:rsidP="00EB7873">
      <w:pPr>
        <w:pStyle w:val="Default"/>
        <w:rPr>
          <w:b/>
          <w:bCs/>
          <w:sz w:val="22"/>
          <w:szCs w:val="22"/>
        </w:rPr>
      </w:pPr>
      <w:r>
        <w:rPr>
          <w:b/>
          <w:bCs/>
          <w:sz w:val="22"/>
          <w:szCs w:val="22"/>
        </w:rPr>
        <w:t>Impact (Number of students)</w:t>
      </w:r>
    </w:p>
    <w:p w:rsidR="00EB7873" w:rsidRDefault="007C40E7" w:rsidP="00EB7873">
      <w:pPr>
        <w:pStyle w:val="Default"/>
        <w:rPr>
          <w:sz w:val="22"/>
          <w:szCs w:val="22"/>
        </w:rPr>
      </w:pPr>
      <w:r w:rsidRPr="00A1384B">
        <w:rPr>
          <w:sz w:val="22"/>
          <w:szCs w:val="22"/>
          <w:highlight w:val="yellow"/>
        </w:rPr>
        <w:t>Due to the lockdown in March 2020 we were unable to assess the impact of the funding. Any funding that is not spent will be used to continue the development of these students.</w:t>
      </w:r>
      <w:r>
        <w:rPr>
          <w:sz w:val="22"/>
          <w:szCs w:val="22"/>
        </w:rPr>
        <w:t xml:space="preserve"> </w:t>
      </w:r>
    </w:p>
    <w:p w:rsidR="00EB7873" w:rsidRDefault="00EB7873" w:rsidP="00EB7873">
      <w:pPr>
        <w:pStyle w:val="Default"/>
        <w:rPr>
          <w:sz w:val="22"/>
          <w:szCs w:val="22"/>
        </w:rPr>
      </w:pPr>
    </w:p>
    <w:p w:rsidR="00EB7873" w:rsidRDefault="007C40E7" w:rsidP="00EB7873">
      <w:pPr>
        <w:pStyle w:val="Default"/>
        <w:rPr>
          <w:b/>
          <w:bCs/>
          <w:sz w:val="22"/>
          <w:szCs w:val="22"/>
        </w:rPr>
      </w:pPr>
      <w:r>
        <w:rPr>
          <w:b/>
          <w:bCs/>
          <w:sz w:val="22"/>
          <w:szCs w:val="22"/>
        </w:rPr>
        <w:t>Y7 Catch-up funding 19-20</w:t>
      </w:r>
      <w:r w:rsidR="00D4007B">
        <w:rPr>
          <w:b/>
          <w:bCs/>
          <w:sz w:val="22"/>
          <w:szCs w:val="22"/>
        </w:rPr>
        <w:t xml:space="preserve"> – actual spend</w:t>
      </w:r>
    </w:p>
    <w:p w:rsidR="007C40E7" w:rsidRDefault="0072694A" w:rsidP="00EB7873">
      <w:pPr>
        <w:pStyle w:val="Default"/>
        <w:rPr>
          <w:sz w:val="22"/>
          <w:szCs w:val="22"/>
        </w:rPr>
      </w:pPr>
      <w:r>
        <w:rPr>
          <w:sz w:val="22"/>
          <w:szCs w:val="22"/>
        </w:rPr>
        <w:t xml:space="preserve">Resources </w:t>
      </w:r>
      <w:r w:rsidR="006D6108">
        <w:rPr>
          <w:sz w:val="22"/>
          <w:szCs w:val="22"/>
        </w:rPr>
        <w:t>including numeracy testing</w:t>
      </w:r>
      <w:r w:rsidR="006D6108">
        <w:rPr>
          <w:sz w:val="22"/>
          <w:szCs w:val="22"/>
        </w:rPr>
        <w:tab/>
      </w:r>
    </w:p>
    <w:p w:rsidR="00EB7873" w:rsidRDefault="007C40E7" w:rsidP="00EB7873">
      <w:pPr>
        <w:pStyle w:val="Default"/>
        <w:rPr>
          <w:sz w:val="22"/>
          <w:szCs w:val="22"/>
        </w:rPr>
      </w:pPr>
      <w:r>
        <w:rPr>
          <w:sz w:val="22"/>
          <w:szCs w:val="22"/>
        </w:rPr>
        <w:t xml:space="preserve">Success at arithmetic </w:t>
      </w:r>
      <w:r>
        <w:rPr>
          <w:sz w:val="22"/>
          <w:szCs w:val="22"/>
        </w:rPr>
        <w:tab/>
        <w:t xml:space="preserve">  </w:t>
      </w:r>
      <w:r>
        <w:rPr>
          <w:sz w:val="22"/>
          <w:szCs w:val="22"/>
        </w:rPr>
        <w:tab/>
        <w:t>=£640</w:t>
      </w:r>
    </w:p>
    <w:p w:rsidR="007C40E7" w:rsidRDefault="0072694A" w:rsidP="00EB7873">
      <w:pPr>
        <w:pStyle w:val="Default"/>
        <w:rPr>
          <w:sz w:val="22"/>
          <w:szCs w:val="22"/>
        </w:rPr>
      </w:pPr>
      <w:r>
        <w:rPr>
          <w:sz w:val="22"/>
          <w:szCs w:val="22"/>
        </w:rPr>
        <w:t>Staffing</w:t>
      </w:r>
      <w:r w:rsidR="00A06DB0">
        <w:rPr>
          <w:sz w:val="22"/>
          <w:szCs w:val="22"/>
        </w:rPr>
        <w:tab/>
      </w:r>
      <w:r w:rsidR="00A06DB0">
        <w:rPr>
          <w:sz w:val="22"/>
          <w:szCs w:val="22"/>
        </w:rPr>
        <w:tab/>
      </w:r>
      <w:r w:rsidR="00A06DB0">
        <w:rPr>
          <w:sz w:val="22"/>
          <w:szCs w:val="22"/>
        </w:rPr>
        <w:tab/>
      </w:r>
      <w:r w:rsidR="007C40E7">
        <w:rPr>
          <w:sz w:val="22"/>
          <w:szCs w:val="22"/>
        </w:rPr>
        <w:tab/>
        <w:t>=£5000</w:t>
      </w:r>
    </w:p>
    <w:p w:rsidR="007C40E7" w:rsidRDefault="007C40E7" w:rsidP="00EB7873">
      <w:pPr>
        <w:pStyle w:val="Default"/>
        <w:rPr>
          <w:sz w:val="22"/>
          <w:szCs w:val="22"/>
        </w:rPr>
      </w:pPr>
      <w:r>
        <w:rPr>
          <w:sz w:val="22"/>
          <w:szCs w:val="22"/>
        </w:rPr>
        <w:t xml:space="preserve">Resources(including testing) </w:t>
      </w:r>
      <w:r>
        <w:rPr>
          <w:sz w:val="22"/>
          <w:szCs w:val="22"/>
        </w:rPr>
        <w:tab/>
        <w:t>=</w:t>
      </w:r>
      <w:r w:rsidR="00A1384B">
        <w:rPr>
          <w:sz w:val="22"/>
          <w:szCs w:val="22"/>
        </w:rPr>
        <w:t>£691</w:t>
      </w:r>
      <w:r>
        <w:rPr>
          <w:sz w:val="22"/>
          <w:szCs w:val="22"/>
        </w:rPr>
        <w:tab/>
      </w:r>
      <w:r>
        <w:rPr>
          <w:sz w:val="22"/>
          <w:szCs w:val="22"/>
        </w:rPr>
        <w:tab/>
      </w:r>
    </w:p>
    <w:p w:rsidR="00A06DB0" w:rsidRDefault="006D6108" w:rsidP="00EB7873">
      <w:pPr>
        <w:pStyle w:val="Default"/>
        <w:rPr>
          <w:sz w:val="22"/>
          <w:szCs w:val="22"/>
        </w:rPr>
      </w:pPr>
      <w:r>
        <w:rPr>
          <w:sz w:val="22"/>
          <w:szCs w:val="22"/>
        </w:rPr>
        <w:tab/>
      </w:r>
    </w:p>
    <w:p w:rsidR="00A06DB0" w:rsidRDefault="00A06DB0" w:rsidP="00EB7873">
      <w:pPr>
        <w:pStyle w:val="Default"/>
        <w:rPr>
          <w:sz w:val="22"/>
          <w:szCs w:val="22"/>
        </w:rPr>
      </w:pPr>
    </w:p>
    <w:p w:rsidR="00EB7873" w:rsidRDefault="00EB7873" w:rsidP="00EB7873">
      <w:pPr>
        <w:pStyle w:val="Default"/>
        <w:rPr>
          <w:b/>
          <w:bCs/>
          <w:sz w:val="22"/>
          <w:szCs w:val="22"/>
        </w:rPr>
      </w:pPr>
      <w:r>
        <w:rPr>
          <w:b/>
          <w:bCs/>
          <w:sz w:val="22"/>
          <w:szCs w:val="22"/>
        </w:rPr>
        <w:t>TOTAL SPEND</w:t>
      </w:r>
      <w:r w:rsidR="00A06DB0">
        <w:rPr>
          <w:b/>
          <w:bCs/>
          <w:sz w:val="22"/>
          <w:szCs w:val="22"/>
        </w:rPr>
        <w:tab/>
      </w:r>
      <w:r>
        <w:rPr>
          <w:b/>
          <w:bCs/>
          <w:sz w:val="22"/>
          <w:szCs w:val="22"/>
        </w:rPr>
        <w:t xml:space="preserve"> </w:t>
      </w:r>
      <w:r w:rsidR="00A06DB0">
        <w:rPr>
          <w:b/>
          <w:bCs/>
          <w:sz w:val="22"/>
          <w:szCs w:val="22"/>
        </w:rPr>
        <w:tab/>
        <w:t>=</w:t>
      </w:r>
      <w:r w:rsidR="00E9424E">
        <w:rPr>
          <w:b/>
          <w:bCs/>
          <w:sz w:val="22"/>
          <w:szCs w:val="22"/>
        </w:rPr>
        <w:t>£</w:t>
      </w:r>
      <w:r w:rsidR="007C40E7">
        <w:rPr>
          <w:b/>
          <w:bCs/>
          <w:sz w:val="22"/>
          <w:szCs w:val="22"/>
        </w:rPr>
        <w:t>6331</w:t>
      </w:r>
    </w:p>
    <w:p w:rsidR="00A1384B" w:rsidRDefault="00A1384B" w:rsidP="00EB7873">
      <w:pPr>
        <w:pStyle w:val="Default"/>
        <w:rPr>
          <w:b/>
          <w:bCs/>
          <w:sz w:val="22"/>
          <w:szCs w:val="22"/>
        </w:rPr>
      </w:pPr>
    </w:p>
    <w:p w:rsidR="00EB7873" w:rsidRDefault="00A1384B" w:rsidP="00EB7873">
      <w:pPr>
        <w:pStyle w:val="Default"/>
        <w:rPr>
          <w:sz w:val="22"/>
          <w:szCs w:val="22"/>
        </w:rPr>
      </w:pPr>
      <w:r>
        <w:rPr>
          <w:sz w:val="22"/>
          <w:szCs w:val="22"/>
        </w:rPr>
        <w:t xml:space="preserve">Total budget </w:t>
      </w:r>
      <w:r>
        <w:rPr>
          <w:sz w:val="22"/>
          <w:szCs w:val="22"/>
        </w:rPr>
        <w:tab/>
      </w:r>
      <w:r>
        <w:rPr>
          <w:sz w:val="22"/>
          <w:szCs w:val="22"/>
        </w:rPr>
        <w:tab/>
        <w:t>=£13416</w:t>
      </w:r>
    </w:p>
    <w:p w:rsidR="00A1384B" w:rsidRDefault="00A1384B" w:rsidP="00EB7873">
      <w:pPr>
        <w:pStyle w:val="Default"/>
        <w:rPr>
          <w:sz w:val="22"/>
          <w:szCs w:val="22"/>
        </w:rPr>
      </w:pPr>
    </w:p>
    <w:p w:rsidR="00A1384B" w:rsidRDefault="00A1384B" w:rsidP="00EB7873">
      <w:pPr>
        <w:pStyle w:val="Default"/>
        <w:rPr>
          <w:sz w:val="22"/>
          <w:szCs w:val="22"/>
        </w:rPr>
      </w:pPr>
      <w:r>
        <w:rPr>
          <w:sz w:val="22"/>
          <w:szCs w:val="22"/>
        </w:rPr>
        <w:t>Available to spend</w:t>
      </w:r>
      <w:r>
        <w:rPr>
          <w:sz w:val="22"/>
          <w:szCs w:val="22"/>
        </w:rPr>
        <w:tab/>
        <w:t>=£7085</w:t>
      </w:r>
    </w:p>
    <w:p w:rsidR="00A06DB0" w:rsidRDefault="00A06DB0" w:rsidP="00EB7873">
      <w:pPr>
        <w:pStyle w:val="Default"/>
        <w:rPr>
          <w:sz w:val="22"/>
          <w:szCs w:val="22"/>
        </w:rPr>
      </w:pPr>
    </w:p>
    <w:p w:rsidR="00A06DB0" w:rsidRDefault="00A06DB0" w:rsidP="00EB7873">
      <w:pPr>
        <w:pStyle w:val="Default"/>
        <w:rPr>
          <w:sz w:val="22"/>
          <w:szCs w:val="22"/>
        </w:rPr>
      </w:pPr>
    </w:p>
    <w:p w:rsidR="00A06DB0" w:rsidRDefault="00A06DB0" w:rsidP="00EB7873">
      <w:pPr>
        <w:pStyle w:val="Default"/>
        <w:rPr>
          <w:sz w:val="22"/>
          <w:szCs w:val="22"/>
        </w:rPr>
      </w:pPr>
    </w:p>
    <w:p w:rsidR="00F71FF8" w:rsidRDefault="00F71FF8" w:rsidP="00EB7873">
      <w:pPr>
        <w:pStyle w:val="Default"/>
        <w:rPr>
          <w:sz w:val="22"/>
          <w:szCs w:val="22"/>
        </w:rPr>
      </w:pPr>
    </w:p>
    <w:p w:rsidR="00A06DB0" w:rsidRDefault="00A06DB0" w:rsidP="00EB7873">
      <w:pPr>
        <w:pStyle w:val="Default"/>
        <w:rPr>
          <w:sz w:val="22"/>
          <w:szCs w:val="22"/>
        </w:rPr>
      </w:pPr>
    </w:p>
    <w:p w:rsidR="009C7567" w:rsidRPr="00EB7873" w:rsidRDefault="009C7567">
      <w:pPr>
        <w:rPr>
          <w:color w:val="FF0000"/>
        </w:rPr>
      </w:pPr>
      <w:bookmarkStart w:id="0" w:name="_GoBack"/>
      <w:bookmarkEnd w:id="0"/>
    </w:p>
    <w:sectPr w:rsidR="009C7567" w:rsidRPr="00EB7873" w:rsidSect="004A0E29">
      <w:pgSz w:w="11906" w:h="17338"/>
      <w:pgMar w:top="1877" w:right="1127" w:bottom="1401"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6D8"/>
    <w:multiLevelType w:val="hybridMultilevel"/>
    <w:tmpl w:val="4CB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36046"/>
    <w:multiLevelType w:val="hybridMultilevel"/>
    <w:tmpl w:val="E6E6B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873"/>
    <w:rsid w:val="000F2AD3"/>
    <w:rsid w:val="00210194"/>
    <w:rsid w:val="00272C35"/>
    <w:rsid w:val="003878B6"/>
    <w:rsid w:val="003F2673"/>
    <w:rsid w:val="004D248C"/>
    <w:rsid w:val="005B4BC0"/>
    <w:rsid w:val="00651A57"/>
    <w:rsid w:val="006D6108"/>
    <w:rsid w:val="0072694A"/>
    <w:rsid w:val="0075178C"/>
    <w:rsid w:val="007C40E7"/>
    <w:rsid w:val="009C7567"/>
    <w:rsid w:val="00A06DB0"/>
    <w:rsid w:val="00A07231"/>
    <w:rsid w:val="00A1384B"/>
    <w:rsid w:val="00AE2030"/>
    <w:rsid w:val="00C44DC2"/>
    <w:rsid w:val="00D4007B"/>
    <w:rsid w:val="00DD0290"/>
    <w:rsid w:val="00E9424E"/>
    <w:rsid w:val="00EB7873"/>
    <w:rsid w:val="00F7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C3CB"/>
  <w15:chartTrackingRefBased/>
  <w15:docId w15:val="{5B57C686-4709-4E4A-9515-ACC6EC11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8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0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dc:creator>
  <cp:keywords/>
  <dc:description/>
  <cp:lastModifiedBy>Turner M</cp:lastModifiedBy>
  <cp:revision>3</cp:revision>
  <dcterms:created xsi:type="dcterms:W3CDTF">2020-10-30T14:56:00Z</dcterms:created>
  <dcterms:modified xsi:type="dcterms:W3CDTF">2020-10-30T15:08:00Z</dcterms:modified>
</cp:coreProperties>
</file>